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Pr="0011257F" w:rsidRDefault="005B0B0C" w:rsidP="003E13C8">
      <w:pPr>
        <w:ind w:firstLine="360"/>
        <w:rPr>
          <w:b/>
          <w:sz w:val="20"/>
          <w:szCs w:val="20"/>
          <w:u w:val="single"/>
        </w:rPr>
      </w:pPr>
      <w:r w:rsidRPr="0011257F">
        <w:rPr>
          <w:noProof/>
          <w:sz w:val="20"/>
          <w:szCs w:val="20"/>
        </w:rPr>
        <w:drawing>
          <wp:inline distT="0" distB="0" distL="0" distR="0" wp14:anchorId="2149B86D" wp14:editId="2434EDE3">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5B0B0C" w:rsidRPr="0011257F" w:rsidRDefault="005B0B0C" w:rsidP="003E13C8">
      <w:pPr>
        <w:ind w:firstLine="360"/>
        <w:rPr>
          <w:b/>
          <w:sz w:val="20"/>
          <w:szCs w:val="20"/>
          <w:u w:val="single"/>
        </w:rPr>
      </w:pPr>
      <w:r w:rsidRPr="0011257F">
        <w:rPr>
          <w:noProof/>
          <w:sz w:val="20"/>
          <w:szCs w:val="20"/>
        </w:rPr>
        <w:drawing>
          <wp:anchor distT="0" distB="0" distL="114300" distR="114300" simplePos="0" relativeHeight="251657216" behindDoc="0" locked="0" layoutInCell="1" allowOverlap="1" wp14:anchorId="1D96F176" wp14:editId="42BA0718">
            <wp:simplePos x="1143000" y="1638300"/>
            <wp:positionH relativeFrom="margin">
              <wp:align>right</wp:align>
            </wp:positionH>
            <wp:positionV relativeFrom="margin">
              <wp:align>top</wp:align>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p>
    <w:p w:rsidR="0073672E" w:rsidRPr="0011257F" w:rsidRDefault="0073672E" w:rsidP="003E13C8">
      <w:pPr>
        <w:ind w:firstLine="360"/>
        <w:rPr>
          <w:b/>
          <w:sz w:val="20"/>
          <w:szCs w:val="20"/>
          <w:u w:val="single"/>
        </w:rPr>
      </w:pPr>
    </w:p>
    <w:p w:rsidR="003E13C8" w:rsidRPr="0011257F" w:rsidRDefault="00553A11" w:rsidP="003E13C8">
      <w:pPr>
        <w:ind w:firstLine="360"/>
        <w:rPr>
          <w:b/>
          <w:u w:val="single"/>
        </w:rPr>
      </w:pPr>
      <w:r w:rsidRPr="0011257F">
        <w:rPr>
          <w:b/>
          <w:u w:val="single"/>
        </w:rPr>
        <w:t>Cardiology</w:t>
      </w:r>
      <w:r w:rsidR="003E13C8" w:rsidRPr="0011257F">
        <w:rPr>
          <w:b/>
          <w:u w:val="single"/>
        </w:rPr>
        <w:t xml:space="preserve"> Learning </w:t>
      </w:r>
      <w:r w:rsidR="005B0B0C" w:rsidRPr="0011257F">
        <w:rPr>
          <w:b/>
          <w:u w:val="single"/>
        </w:rPr>
        <w:t>Experience</w:t>
      </w:r>
      <w:r w:rsidR="003E13C8" w:rsidRPr="0011257F">
        <w:rPr>
          <w:b/>
          <w:u w:val="single"/>
        </w:rPr>
        <w:t>:</w:t>
      </w:r>
    </w:p>
    <w:p w:rsidR="003E13C8" w:rsidRPr="0011257F" w:rsidRDefault="003E13C8" w:rsidP="003E13C8">
      <w:pPr>
        <w:ind w:firstLine="360"/>
        <w:rPr>
          <w:b/>
        </w:rPr>
      </w:pPr>
      <w:r w:rsidRPr="0011257F">
        <w:rPr>
          <w:b/>
        </w:rPr>
        <w:t xml:space="preserve">Preceptor: </w:t>
      </w:r>
      <w:r w:rsidR="00553A11" w:rsidRPr="0011257F">
        <w:rPr>
          <w:b/>
        </w:rPr>
        <w:t>Dustin Bryan, PharmD, BCPS</w:t>
      </w:r>
    </w:p>
    <w:p w:rsidR="009C4C01" w:rsidRDefault="00984C68" w:rsidP="003E13C8">
      <w:pPr>
        <w:ind w:firstLine="360"/>
        <w:rPr>
          <w:b/>
        </w:rPr>
      </w:pPr>
      <w:r w:rsidRPr="0011257F">
        <w:rPr>
          <w:b/>
        </w:rPr>
        <w:t xml:space="preserve">Office: </w:t>
      </w:r>
      <w:r w:rsidR="009C4C01" w:rsidRPr="0011257F">
        <w:rPr>
          <w:b/>
        </w:rPr>
        <w:t xml:space="preserve">Cape Fear Valley Medical Center, </w:t>
      </w:r>
      <w:r w:rsidR="00553A11" w:rsidRPr="0011257F">
        <w:rPr>
          <w:b/>
        </w:rPr>
        <w:t xml:space="preserve">M4 Satellite </w:t>
      </w:r>
    </w:p>
    <w:p w:rsidR="00CD24E8" w:rsidRPr="0011257F" w:rsidRDefault="00CD24E8" w:rsidP="003E13C8">
      <w:pPr>
        <w:ind w:firstLine="360"/>
        <w:rPr>
          <w:b/>
        </w:rPr>
      </w:pPr>
      <w:r>
        <w:rPr>
          <w:b/>
        </w:rPr>
        <w:t>Email: dbrya4@capefearvalley.com</w:t>
      </w:r>
    </w:p>
    <w:p w:rsidR="003E13C8" w:rsidRPr="0011257F" w:rsidRDefault="00553A11" w:rsidP="003E13C8">
      <w:pPr>
        <w:ind w:firstLine="360"/>
        <w:rPr>
          <w:b/>
        </w:rPr>
      </w:pPr>
      <w:r w:rsidRPr="0011257F">
        <w:rPr>
          <w:b/>
        </w:rPr>
        <w:t>Hours: 7am – 3:30</w:t>
      </w:r>
      <w:r w:rsidR="00984C68" w:rsidRPr="0011257F">
        <w:rPr>
          <w:b/>
        </w:rPr>
        <w:t>pm</w:t>
      </w:r>
      <w:r w:rsidR="00CD24E8">
        <w:rPr>
          <w:b/>
        </w:rPr>
        <w:t xml:space="preserve">, </w:t>
      </w:r>
      <w:r w:rsidRPr="0011257F">
        <w:rPr>
          <w:b/>
        </w:rPr>
        <w:t xml:space="preserve">Monday </w:t>
      </w:r>
      <w:r w:rsidR="009C4C01" w:rsidRPr="0011257F">
        <w:rPr>
          <w:b/>
        </w:rPr>
        <w:t>-</w:t>
      </w:r>
      <w:r w:rsidRPr="0011257F">
        <w:rPr>
          <w:b/>
        </w:rPr>
        <w:t xml:space="preserve"> Friday</w:t>
      </w:r>
    </w:p>
    <w:p w:rsidR="003E13C8" w:rsidRPr="0011257F" w:rsidRDefault="003E13C8" w:rsidP="003E13C8">
      <w:pPr>
        <w:rPr>
          <w:sz w:val="20"/>
          <w:szCs w:val="20"/>
        </w:rPr>
      </w:pPr>
    </w:p>
    <w:p w:rsidR="003E13C8" w:rsidRPr="0011257F" w:rsidRDefault="003E13C8" w:rsidP="003E13C8">
      <w:pPr>
        <w:numPr>
          <w:ilvl w:val="0"/>
          <w:numId w:val="1"/>
        </w:numPr>
        <w:rPr>
          <w:b/>
          <w:sz w:val="20"/>
          <w:szCs w:val="20"/>
          <w:u w:val="single"/>
        </w:rPr>
      </w:pPr>
      <w:r w:rsidRPr="0011257F">
        <w:rPr>
          <w:b/>
          <w:sz w:val="20"/>
          <w:szCs w:val="20"/>
          <w:u w:val="single"/>
        </w:rPr>
        <w:t>General Description</w:t>
      </w:r>
    </w:p>
    <w:p w:rsidR="00553A11" w:rsidRPr="0011257F" w:rsidRDefault="00553A11" w:rsidP="008E1E95">
      <w:pPr>
        <w:ind w:left="720"/>
        <w:jc w:val="both"/>
        <w:rPr>
          <w:sz w:val="20"/>
          <w:szCs w:val="20"/>
        </w:rPr>
      </w:pPr>
      <w:r w:rsidRPr="0011257F">
        <w:rPr>
          <w:sz w:val="20"/>
          <w:szCs w:val="20"/>
        </w:rPr>
        <w:t xml:space="preserve">The Cardiology Rotation is a clinical elective four week learning experience offered at Cape Fear Valley Medical Center. Cape Fear Valley houses a Heart and Vascular Center located in the Valley </w:t>
      </w:r>
      <w:r w:rsidR="007144B6" w:rsidRPr="0011257F">
        <w:rPr>
          <w:sz w:val="20"/>
          <w:szCs w:val="20"/>
        </w:rPr>
        <w:t>Pavilion</w:t>
      </w:r>
      <w:r w:rsidRPr="0011257F">
        <w:rPr>
          <w:sz w:val="20"/>
          <w:szCs w:val="20"/>
        </w:rPr>
        <w:t xml:space="preserve"> tower. Outside of the Heart and Vascular Center, Cape Fear Valley has </w:t>
      </w:r>
      <w:r w:rsidR="007144B6" w:rsidRPr="0011257F">
        <w:rPr>
          <w:sz w:val="20"/>
          <w:szCs w:val="20"/>
        </w:rPr>
        <w:t>an</w:t>
      </w:r>
      <w:r w:rsidRPr="0011257F">
        <w:rPr>
          <w:sz w:val="20"/>
          <w:szCs w:val="20"/>
        </w:rPr>
        <w:t xml:space="preserve"> 11 Bed Cardiac Surgery Intensive Care Unit and two Cardiac Surgery operating rooms. The hospital also possesses 30 other ICU beds which may receive cardiac patients. Private practice cardiologists and their mid level practitioners offer cardiac care within the hospital setting. The institution currently employs 2 cardiac surgeons within a hospital owned surgery practice.  Other health care professionals that impact care of cardiac patients include but are not limited to nurses, pharmacists, respiratory technicians, registered dieticians, physical and occupational therapists, radiology imaging personnel, and case managers/social workers. </w:t>
      </w:r>
    </w:p>
    <w:p w:rsidR="00553A11" w:rsidRPr="0011257F" w:rsidRDefault="00553A11" w:rsidP="008E1E95">
      <w:pPr>
        <w:ind w:left="720"/>
        <w:jc w:val="both"/>
        <w:rPr>
          <w:sz w:val="20"/>
          <w:szCs w:val="20"/>
        </w:rPr>
      </w:pPr>
    </w:p>
    <w:p w:rsidR="00553A11" w:rsidRPr="0011257F" w:rsidRDefault="00553A11" w:rsidP="008E1E95">
      <w:pPr>
        <w:ind w:left="720"/>
        <w:jc w:val="both"/>
        <w:rPr>
          <w:sz w:val="20"/>
          <w:szCs w:val="20"/>
        </w:rPr>
      </w:pPr>
      <w:r w:rsidRPr="0011257F">
        <w:rPr>
          <w:sz w:val="20"/>
          <w:szCs w:val="20"/>
        </w:rPr>
        <w:t xml:space="preserve">The satellite pharmacist is </w:t>
      </w:r>
      <w:r w:rsidR="007144B6" w:rsidRPr="0011257F">
        <w:rPr>
          <w:sz w:val="20"/>
          <w:szCs w:val="20"/>
        </w:rPr>
        <w:t>responsible for</w:t>
      </w:r>
      <w:r w:rsidRPr="0011257F">
        <w:rPr>
          <w:sz w:val="20"/>
          <w:szCs w:val="20"/>
        </w:rPr>
        <w:t xml:space="preserve"> providing pharmaceutical care to patients housed on the CPCU (chest pain care unit), CVRU (cardiovascular recovery unit), 3VPS (3 Valley </w:t>
      </w:r>
      <w:r w:rsidR="007144B6" w:rsidRPr="0011257F">
        <w:rPr>
          <w:sz w:val="20"/>
          <w:szCs w:val="20"/>
        </w:rPr>
        <w:t>Pavilion</w:t>
      </w:r>
      <w:r w:rsidRPr="0011257F">
        <w:rPr>
          <w:sz w:val="20"/>
          <w:szCs w:val="20"/>
        </w:rPr>
        <w:t xml:space="preserve"> South – progressive care unit, ICU stepdown), and CSICU (cardiac surgery intensive care unit). Activities include MUE, medication order entry,  verification of computerized physician order entry,</w:t>
      </w:r>
      <w:r w:rsidR="0047245C" w:rsidRPr="0011257F">
        <w:rPr>
          <w:sz w:val="20"/>
          <w:szCs w:val="20"/>
        </w:rPr>
        <w:t xml:space="preserve"> participation in multidisciplinary rounds,</w:t>
      </w:r>
      <w:r w:rsidRPr="0011257F">
        <w:rPr>
          <w:sz w:val="20"/>
          <w:szCs w:val="20"/>
        </w:rPr>
        <w:t xml:space="preserve"> drug allergy assessment, pharmacokinetic dosing of target medications, renal dosing of target medications, drug interaction assessment, adverse drug reaction monitoring and reporting, order duplication monitoring, IV to PO protocol conversions,  patient own medication identification and monitoring, medication cycle issue resolution, and providing drug information to health care professionals.  In addition, the pharmacist will provide training to pharmacy students, newly hired pharmacists, and pharmacy residents as assigned. </w:t>
      </w:r>
    </w:p>
    <w:p w:rsidR="00553A11" w:rsidRPr="0011257F" w:rsidRDefault="00553A11" w:rsidP="008E1E95">
      <w:pPr>
        <w:ind w:left="720"/>
        <w:jc w:val="both"/>
        <w:rPr>
          <w:sz w:val="20"/>
          <w:szCs w:val="20"/>
        </w:rPr>
      </w:pPr>
    </w:p>
    <w:p w:rsidR="00553A11" w:rsidRPr="0011257F" w:rsidRDefault="00553A11" w:rsidP="008E1E95">
      <w:pPr>
        <w:ind w:left="720"/>
        <w:jc w:val="both"/>
        <w:rPr>
          <w:sz w:val="20"/>
          <w:szCs w:val="20"/>
        </w:rPr>
      </w:pPr>
      <w:r w:rsidRPr="0011257F">
        <w:rPr>
          <w:sz w:val="20"/>
          <w:szCs w:val="20"/>
        </w:rPr>
        <w:t>The pharmacy resident is responsible for providing pharmaceutical care to patients housed in the same nursing units as listed for the pharmacist above. Activities for the resident include but are not limited to pharmacokinetic dosing, anticoagulation dosing and monitoring, therapeutic drug regimen review,</w:t>
      </w:r>
      <w:r w:rsidR="0047245C" w:rsidRPr="0011257F">
        <w:rPr>
          <w:sz w:val="20"/>
          <w:szCs w:val="20"/>
        </w:rPr>
        <w:t xml:space="preserve"> participating in multidisciplinary rounds, </w:t>
      </w:r>
      <w:r w:rsidRPr="0011257F">
        <w:rPr>
          <w:sz w:val="20"/>
          <w:szCs w:val="20"/>
        </w:rPr>
        <w:t xml:space="preserve"> HQI, patient counseling (when feasible) and rounding with licensed independent practitioners. The resident will have the opportunity to view cardiac procedures/surgeries.  When scheduled, the pharmacy resident will also precept pharmacy students as assigned. </w:t>
      </w:r>
    </w:p>
    <w:p w:rsidR="00553A11" w:rsidRPr="0011257F" w:rsidRDefault="00553A11" w:rsidP="009C4C01">
      <w:pPr>
        <w:ind w:left="360"/>
        <w:rPr>
          <w:sz w:val="20"/>
          <w:szCs w:val="20"/>
        </w:rPr>
      </w:pPr>
    </w:p>
    <w:p w:rsidR="00553A11" w:rsidRPr="0011257F" w:rsidRDefault="00553A11" w:rsidP="008E1E95">
      <w:pPr>
        <w:ind w:left="720"/>
        <w:jc w:val="both"/>
        <w:rPr>
          <w:sz w:val="20"/>
          <w:szCs w:val="20"/>
        </w:rPr>
      </w:pPr>
      <w:r w:rsidRPr="0011257F">
        <w:rPr>
          <w:sz w:val="20"/>
          <w:szCs w:val="20"/>
        </w:rPr>
        <w:t xml:space="preserve">Strong communication and interpersonal skills are required for this rotation.  In addition, efficient work flow management will be critical to a successful completion of this rotation. </w:t>
      </w:r>
    </w:p>
    <w:p w:rsidR="00553A11" w:rsidRPr="0011257F" w:rsidRDefault="00553A11" w:rsidP="003E13C8">
      <w:pPr>
        <w:ind w:left="360"/>
        <w:jc w:val="both"/>
        <w:rPr>
          <w:b/>
          <w:sz w:val="20"/>
          <w:szCs w:val="20"/>
          <w:u w:val="single"/>
        </w:rPr>
      </w:pPr>
    </w:p>
    <w:p w:rsidR="003E13C8" w:rsidRPr="0011257F" w:rsidRDefault="003E13C8" w:rsidP="003E13C8">
      <w:pPr>
        <w:numPr>
          <w:ilvl w:val="0"/>
          <w:numId w:val="1"/>
        </w:numPr>
        <w:rPr>
          <w:b/>
          <w:sz w:val="20"/>
          <w:szCs w:val="20"/>
          <w:u w:val="single"/>
        </w:rPr>
      </w:pPr>
      <w:r w:rsidRPr="0011257F">
        <w:rPr>
          <w:b/>
          <w:sz w:val="20"/>
          <w:szCs w:val="20"/>
          <w:u w:val="single"/>
        </w:rPr>
        <w:t>Disease States</w:t>
      </w:r>
    </w:p>
    <w:p w:rsidR="00553A11" w:rsidRPr="0011257F" w:rsidRDefault="00553A11" w:rsidP="008E1E95">
      <w:pPr>
        <w:ind w:left="720"/>
        <w:rPr>
          <w:sz w:val="20"/>
          <w:szCs w:val="20"/>
        </w:rPr>
      </w:pPr>
      <w:r w:rsidRPr="0011257F">
        <w:rPr>
          <w:sz w:val="20"/>
          <w:szCs w:val="20"/>
        </w:rPr>
        <w:t>Disease states that the resident will be expected to achieve proficiency in by topic discussion, liter</w:t>
      </w:r>
      <w:r w:rsidR="009C4C01" w:rsidRPr="0011257F">
        <w:rPr>
          <w:sz w:val="20"/>
          <w:szCs w:val="20"/>
        </w:rPr>
        <w:t xml:space="preserve">ature review, guideline study, </w:t>
      </w:r>
      <w:r w:rsidRPr="0011257F">
        <w:rPr>
          <w:sz w:val="20"/>
          <w:szCs w:val="20"/>
        </w:rPr>
        <w:t>and patient care include but are not limited to:</w:t>
      </w:r>
    </w:p>
    <w:p w:rsidR="00553A11" w:rsidRPr="0011257F" w:rsidRDefault="00553A11" w:rsidP="00553A11">
      <w:pPr>
        <w:pStyle w:val="ListParagraph"/>
        <w:numPr>
          <w:ilvl w:val="0"/>
          <w:numId w:val="10"/>
        </w:numPr>
        <w:spacing w:after="200" w:line="276" w:lineRule="auto"/>
        <w:rPr>
          <w:sz w:val="20"/>
          <w:szCs w:val="20"/>
        </w:rPr>
      </w:pPr>
      <w:r w:rsidRPr="0011257F">
        <w:rPr>
          <w:sz w:val="20"/>
          <w:szCs w:val="20"/>
        </w:rPr>
        <w:t>Hypertension</w:t>
      </w:r>
    </w:p>
    <w:p w:rsidR="00553A11" w:rsidRPr="0011257F" w:rsidRDefault="00553A11" w:rsidP="00553A11">
      <w:pPr>
        <w:pStyle w:val="ListParagraph"/>
        <w:numPr>
          <w:ilvl w:val="0"/>
          <w:numId w:val="10"/>
        </w:numPr>
        <w:spacing w:after="200" w:line="276" w:lineRule="auto"/>
        <w:rPr>
          <w:sz w:val="20"/>
          <w:szCs w:val="20"/>
        </w:rPr>
      </w:pPr>
      <w:r w:rsidRPr="0011257F">
        <w:rPr>
          <w:sz w:val="20"/>
          <w:szCs w:val="20"/>
        </w:rPr>
        <w:t>Atrial fibrillation</w:t>
      </w:r>
    </w:p>
    <w:p w:rsidR="00553A11" w:rsidRPr="0011257F" w:rsidRDefault="00553A11" w:rsidP="00553A11">
      <w:pPr>
        <w:pStyle w:val="ListParagraph"/>
        <w:numPr>
          <w:ilvl w:val="0"/>
          <w:numId w:val="10"/>
        </w:numPr>
        <w:spacing w:after="200" w:line="276" w:lineRule="auto"/>
        <w:rPr>
          <w:sz w:val="20"/>
          <w:szCs w:val="20"/>
        </w:rPr>
      </w:pPr>
      <w:r w:rsidRPr="0011257F">
        <w:rPr>
          <w:sz w:val="20"/>
          <w:szCs w:val="20"/>
        </w:rPr>
        <w:t>Acute Coronary Syndromes</w:t>
      </w:r>
    </w:p>
    <w:p w:rsidR="00553A11" w:rsidRPr="0011257F" w:rsidRDefault="00553A11" w:rsidP="00553A11">
      <w:pPr>
        <w:pStyle w:val="ListParagraph"/>
        <w:numPr>
          <w:ilvl w:val="0"/>
          <w:numId w:val="10"/>
        </w:numPr>
        <w:spacing w:after="200" w:line="276" w:lineRule="auto"/>
        <w:rPr>
          <w:sz w:val="20"/>
          <w:szCs w:val="20"/>
        </w:rPr>
      </w:pPr>
      <w:r w:rsidRPr="0011257F">
        <w:rPr>
          <w:sz w:val="20"/>
          <w:szCs w:val="20"/>
        </w:rPr>
        <w:t>Thromboembolic Disease Management</w:t>
      </w:r>
    </w:p>
    <w:p w:rsidR="00553A11" w:rsidRPr="0011257F" w:rsidRDefault="00553A11" w:rsidP="00553A11">
      <w:pPr>
        <w:pStyle w:val="ListParagraph"/>
        <w:numPr>
          <w:ilvl w:val="0"/>
          <w:numId w:val="10"/>
        </w:numPr>
        <w:spacing w:after="200" w:line="276" w:lineRule="auto"/>
        <w:rPr>
          <w:sz w:val="20"/>
          <w:szCs w:val="20"/>
        </w:rPr>
      </w:pPr>
      <w:r w:rsidRPr="0011257F">
        <w:rPr>
          <w:sz w:val="20"/>
          <w:szCs w:val="20"/>
        </w:rPr>
        <w:t>Dyslipidemia</w:t>
      </w:r>
    </w:p>
    <w:p w:rsidR="005067C4" w:rsidRDefault="00553A11" w:rsidP="00CD24E8">
      <w:pPr>
        <w:pStyle w:val="ListParagraph"/>
        <w:numPr>
          <w:ilvl w:val="0"/>
          <w:numId w:val="10"/>
        </w:numPr>
        <w:spacing w:after="200" w:line="276" w:lineRule="auto"/>
        <w:rPr>
          <w:sz w:val="20"/>
          <w:szCs w:val="20"/>
        </w:rPr>
      </w:pPr>
      <w:r w:rsidRPr="0011257F">
        <w:rPr>
          <w:sz w:val="20"/>
          <w:szCs w:val="20"/>
        </w:rPr>
        <w:t>Heart Failure</w:t>
      </w:r>
    </w:p>
    <w:p w:rsidR="00CD24E8" w:rsidRPr="00CD24E8" w:rsidRDefault="00CD24E8" w:rsidP="00CD24E8">
      <w:pPr>
        <w:pStyle w:val="ListParagraph"/>
        <w:spacing w:after="200" w:line="276" w:lineRule="auto"/>
        <w:ind w:left="1440"/>
        <w:rPr>
          <w:sz w:val="20"/>
          <w:szCs w:val="20"/>
        </w:rPr>
      </w:pPr>
    </w:p>
    <w:p w:rsidR="00F42A98" w:rsidRPr="0011257F" w:rsidRDefault="003E13C8" w:rsidP="00F42A98">
      <w:pPr>
        <w:pStyle w:val="ListParagraph"/>
        <w:numPr>
          <w:ilvl w:val="0"/>
          <w:numId w:val="1"/>
        </w:numPr>
        <w:rPr>
          <w:sz w:val="20"/>
          <w:szCs w:val="20"/>
        </w:rPr>
      </w:pPr>
      <w:r w:rsidRPr="0011257F">
        <w:rPr>
          <w:b/>
          <w:sz w:val="20"/>
          <w:szCs w:val="20"/>
          <w:u w:val="single"/>
        </w:rPr>
        <w:lastRenderedPageBreak/>
        <w:t xml:space="preserve">Goals and Objectives  </w:t>
      </w:r>
    </w:p>
    <w:p w:rsidR="00553A11" w:rsidRPr="0011257F" w:rsidRDefault="00553A11" w:rsidP="00067A50">
      <w:pPr>
        <w:pStyle w:val="ListParagraph"/>
        <w:rPr>
          <w:sz w:val="20"/>
          <w:szCs w:val="20"/>
        </w:rPr>
      </w:pPr>
      <w:r w:rsidRPr="0011257F">
        <w:rPr>
          <w:sz w:val="20"/>
          <w:szCs w:val="20"/>
        </w:rPr>
        <w:t>The goals and objectives that will be educated and evaluated are as follows:</w:t>
      </w:r>
    </w:p>
    <w:p w:rsidR="00067A50" w:rsidRPr="0011257F" w:rsidRDefault="00067A50" w:rsidP="00067A50">
      <w:pPr>
        <w:pStyle w:val="ListParagraph"/>
        <w:rPr>
          <w:sz w:val="20"/>
          <w:szCs w:val="20"/>
        </w:rPr>
      </w:pPr>
    </w:p>
    <w:p w:rsidR="00553A11" w:rsidRPr="0011257F" w:rsidRDefault="00553A11" w:rsidP="0011257F">
      <w:pPr>
        <w:rPr>
          <w:sz w:val="20"/>
          <w:szCs w:val="20"/>
        </w:rPr>
      </w:pPr>
      <w:r w:rsidRPr="0011257F">
        <w:rPr>
          <w:sz w:val="20"/>
          <w:szCs w:val="20"/>
        </w:rPr>
        <w:tab/>
      </w:r>
      <w:r w:rsidR="009C4C01" w:rsidRPr="0011257F">
        <w:rPr>
          <w:sz w:val="20"/>
          <w:szCs w:val="20"/>
        </w:rPr>
        <w:t>R</w:t>
      </w:r>
      <w:r w:rsidR="0047245C" w:rsidRPr="0011257F">
        <w:rPr>
          <w:sz w:val="20"/>
          <w:szCs w:val="20"/>
        </w:rPr>
        <w:t>1.1.1</w:t>
      </w:r>
      <w:r w:rsidR="00F42A98" w:rsidRPr="0011257F">
        <w:rPr>
          <w:sz w:val="20"/>
          <w:szCs w:val="20"/>
        </w:rPr>
        <w:t xml:space="preserve">: </w:t>
      </w:r>
      <w:r w:rsidR="0047245C" w:rsidRPr="0011257F">
        <w:rPr>
          <w:sz w:val="20"/>
          <w:szCs w:val="20"/>
        </w:rPr>
        <w:t>Interact effectively with health care teams to manage patients’ medication therapy</w:t>
      </w:r>
      <w:r w:rsidR="0011257F" w:rsidRPr="0011257F">
        <w:rPr>
          <w:sz w:val="20"/>
          <w:szCs w:val="20"/>
        </w:rPr>
        <w:t>.</w:t>
      </w:r>
      <w:r w:rsidRPr="0011257F">
        <w:rPr>
          <w:sz w:val="20"/>
          <w:szCs w:val="20"/>
        </w:rPr>
        <w:tab/>
      </w:r>
      <w:r w:rsidR="009C4C01" w:rsidRPr="0011257F">
        <w:rPr>
          <w:sz w:val="20"/>
          <w:szCs w:val="20"/>
        </w:rPr>
        <w:tab/>
      </w:r>
      <w:r w:rsidR="0011257F" w:rsidRPr="0011257F">
        <w:rPr>
          <w:sz w:val="20"/>
          <w:szCs w:val="20"/>
        </w:rPr>
        <w:tab/>
        <w:t>R1.1.3</w:t>
      </w:r>
      <w:r w:rsidR="00F42A98" w:rsidRPr="0011257F">
        <w:rPr>
          <w:sz w:val="20"/>
          <w:szCs w:val="20"/>
        </w:rPr>
        <w:t xml:space="preserve">: </w:t>
      </w:r>
      <w:r w:rsidR="0011257F" w:rsidRPr="0011257F">
        <w:rPr>
          <w:sz w:val="20"/>
          <w:szCs w:val="20"/>
        </w:rPr>
        <w:t xml:space="preserve">Collect information on which to base safe and effective medication therapy. </w:t>
      </w:r>
    </w:p>
    <w:p w:rsidR="00553A11" w:rsidRPr="0011257F" w:rsidRDefault="00553A11" w:rsidP="0011257F">
      <w:pPr>
        <w:rPr>
          <w:sz w:val="20"/>
          <w:szCs w:val="20"/>
        </w:rPr>
      </w:pPr>
      <w:r w:rsidRPr="0011257F">
        <w:rPr>
          <w:sz w:val="20"/>
          <w:szCs w:val="20"/>
        </w:rPr>
        <w:tab/>
      </w:r>
      <w:r w:rsidR="009C4C01" w:rsidRPr="0011257F">
        <w:rPr>
          <w:sz w:val="20"/>
          <w:szCs w:val="20"/>
        </w:rPr>
        <w:t>R</w:t>
      </w:r>
      <w:r w:rsidR="0011257F" w:rsidRPr="0011257F">
        <w:rPr>
          <w:sz w:val="20"/>
          <w:szCs w:val="20"/>
        </w:rPr>
        <w:t>1.1.4: Analyze and assess information on which to base safe and effective medication therapy.</w:t>
      </w:r>
    </w:p>
    <w:p w:rsidR="0011257F" w:rsidRPr="0011257F" w:rsidRDefault="00553A11" w:rsidP="0011257F">
      <w:pPr>
        <w:rPr>
          <w:sz w:val="20"/>
          <w:szCs w:val="20"/>
        </w:rPr>
      </w:pPr>
      <w:r w:rsidRPr="0011257F">
        <w:rPr>
          <w:sz w:val="20"/>
          <w:szCs w:val="20"/>
        </w:rPr>
        <w:tab/>
      </w:r>
      <w:r w:rsidR="009C4C01" w:rsidRPr="0011257F">
        <w:rPr>
          <w:sz w:val="20"/>
          <w:szCs w:val="20"/>
        </w:rPr>
        <w:t>R</w:t>
      </w:r>
      <w:r w:rsidR="0011257F" w:rsidRPr="0011257F">
        <w:rPr>
          <w:sz w:val="20"/>
          <w:szCs w:val="20"/>
        </w:rPr>
        <w:t>1.1.5: Design or redesign safe and effective patient-centered therapeutic regimens and monitoring plans (care plans)</w:t>
      </w:r>
    </w:p>
    <w:p w:rsidR="00553A11" w:rsidRPr="0011257F" w:rsidRDefault="00553A11" w:rsidP="0011257F">
      <w:pPr>
        <w:rPr>
          <w:sz w:val="20"/>
          <w:szCs w:val="20"/>
        </w:rPr>
      </w:pPr>
      <w:r w:rsidRPr="0011257F">
        <w:rPr>
          <w:sz w:val="20"/>
          <w:szCs w:val="20"/>
        </w:rPr>
        <w:tab/>
      </w:r>
      <w:r w:rsidR="009C4C01" w:rsidRPr="0011257F">
        <w:rPr>
          <w:sz w:val="20"/>
          <w:szCs w:val="20"/>
        </w:rPr>
        <w:t>R</w:t>
      </w:r>
      <w:r w:rsidR="0011257F" w:rsidRPr="0011257F">
        <w:rPr>
          <w:sz w:val="20"/>
          <w:szCs w:val="20"/>
        </w:rPr>
        <w:t>1.1.6</w:t>
      </w:r>
      <w:r w:rsidR="00F42A98" w:rsidRPr="0011257F">
        <w:rPr>
          <w:sz w:val="20"/>
          <w:szCs w:val="20"/>
        </w:rPr>
        <w:t xml:space="preserve">: </w:t>
      </w:r>
      <w:r w:rsidR="0011257F" w:rsidRPr="0011257F">
        <w:rPr>
          <w:sz w:val="20"/>
          <w:szCs w:val="20"/>
        </w:rPr>
        <w:t>Ensure implementation of therapeutic regimens and monitoring plans (care plans) by taking appropriate follow-up actions.</w:t>
      </w:r>
    </w:p>
    <w:p w:rsidR="0011257F" w:rsidRPr="0011257F" w:rsidRDefault="0011257F" w:rsidP="0011257F">
      <w:pPr>
        <w:rPr>
          <w:sz w:val="20"/>
          <w:szCs w:val="20"/>
        </w:rPr>
      </w:pPr>
      <w:r w:rsidRPr="0011257F">
        <w:rPr>
          <w:sz w:val="20"/>
          <w:szCs w:val="20"/>
        </w:rPr>
        <w:tab/>
        <w:t>R1.2.1: Manage transitions of care effectively</w:t>
      </w:r>
    </w:p>
    <w:p w:rsidR="003E13C8" w:rsidRPr="0011257F" w:rsidRDefault="00553A11" w:rsidP="00067A50">
      <w:pPr>
        <w:rPr>
          <w:sz w:val="20"/>
          <w:szCs w:val="20"/>
        </w:rPr>
      </w:pPr>
      <w:r w:rsidRPr="0011257F">
        <w:rPr>
          <w:sz w:val="20"/>
          <w:szCs w:val="20"/>
        </w:rPr>
        <w:tab/>
      </w:r>
      <w:r w:rsidR="009C4C01" w:rsidRPr="0011257F">
        <w:rPr>
          <w:sz w:val="20"/>
          <w:szCs w:val="20"/>
        </w:rPr>
        <w:tab/>
      </w:r>
    </w:p>
    <w:p w:rsidR="003E13C8" w:rsidRPr="0011257F" w:rsidRDefault="003E13C8" w:rsidP="003E13C8">
      <w:pPr>
        <w:numPr>
          <w:ilvl w:val="0"/>
          <w:numId w:val="1"/>
        </w:numPr>
        <w:rPr>
          <w:b/>
          <w:sz w:val="20"/>
          <w:szCs w:val="20"/>
          <w:u w:val="single"/>
        </w:rPr>
      </w:pPr>
      <w:r w:rsidRPr="0011257F">
        <w:rPr>
          <w:b/>
          <w:sz w:val="20"/>
          <w:szCs w:val="20"/>
          <w:u w:val="single"/>
        </w:rPr>
        <w:t xml:space="preserve">Preceptor Interaction </w:t>
      </w:r>
    </w:p>
    <w:p w:rsidR="00790FD6" w:rsidRPr="0011257F" w:rsidRDefault="003E13C8" w:rsidP="008E1E95">
      <w:pPr>
        <w:ind w:left="720"/>
        <w:rPr>
          <w:sz w:val="20"/>
          <w:szCs w:val="20"/>
        </w:rPr>
      </w:pPr>
      <w:r w:rsidRPr="0011257F">
        <w:rPr>
          <w:sz w:val="20"/>
          <w:szCs w:val="20"/>
        </w:rPr>
        <w:t xml:space="preserve">Daily:  </w:t>
      </w:r>
      <w:r w:rsidRPr="0011257F">
        <w:rPr>
          <w:sz w:val="20"/>
          <w:szCs w:val="20"/>
        </w:rPr>
        <w:tab/>
      </w:r>
      <w:r w:rsidR="00CB3793" w:rsidRPr="0011257F">
        <w:rPr>
          <w:sz w:val="20"/>
          <w:szCs w:val="20"/>
        </w:rPr>
        <w:tab/>
      </w:r>
      <w:r w:rsidR="00390C0E" w:rsidRPr="0011257F">
        <w:rPr>
          <w:sz w:val="20"/>
          <w:szCs w:val="20"/>
        </w:rPr>
        <w:t>7:</w:t>
      </w:r>
      <w:r w:rsidR="00790FD6" w:rsidRPr="0011257F">
        <w:rPr>
          <w:sz w:val="20"/>
          <w:szCs w:val="20"/>
        </w:rPr>
        <w:t>00am-3:30pm</w:t>
      </w:r>
    </w:p>
    <w:p w:rsidR="00790FD6" w:rsidRPr="0011257F" w:rsidRDefault="00790FD6" w:rsidP="003E13C8">
      <w:pPr>
        <w:ind w:left="360"/>
        <w:rPr>
          <w:sz w:val="20"/>
          <w:szCs w:val="20"/>
        </w:rPr>
      </w:pPr>
    </w:p>
    <w:p w:rsidR="00CB3793" w:rsidRDefault="00790FD6" w:rsidP="00790FD6">
      <w:pPr>
        <w:ind w:left="360"/>
        <w:rPr>
          <w:sz w:val="20"/>
          <w:szCs w:val="20"/>
        </w:rPr>
      </w:pPr>
      <w:r w:rsidRPr="0011257F">
        <w:rPr>
          <w:sz w:val="20"/>
          <w:szCs w:val="20"/>
        </w:rPr>
        <w:t>Resident may be assigned to activities outside of the pharmacy satellite. As the preceptor may work additional shifts necessitating days off during the week, the resident may be assigned to staff the pharmacy satellite independently or with another pharmacist depending on the pharmacy resident’s progress.  Final evaluation – last day of rotation.</w:t>
      </w:r>
    </w:p>
    <w:p w:rsidR="003E13C8" w:rsidRPr="0011257F" w:rsidRDefault="003E13C8" w:rsidP="00250E4B">
      <w:pPr>
        <w:jc w:val="both"/>
        <w:rPr>
          <w:sz w:val="20"/>
          <w:szCs w:val="20"/>
        </w:rPr>
      </w:pPr>
    </w:p>
    <w:p w:rsidR="003E13C8" w:rsidRPr="0011257F" w:rsidRDefault="00250E4B" w:rsidP="003E13C8">
      <w:pPr>
        <w:ind w:left="1440" w:hanging="1080"/>
        <w:rPr>
          <w:b/>
          <w:sz w:val="20"/>
          <w:szCs w:val="20"/>
          <w:u w:val="single"/>
        </w:rPr>
      </w:pPr>
      <w:r>
        <w:rPr>
          <w:b/>
          <w:sz w:val="20"/>
          <w:szCs w:val="20"/>
        </w:rPr>
        <w:t>5</w:t>
      </w:r>
      <w:r w:rsidR="003E13C8" w:rsidRPr="0011257F">
        <w:rPr>
          <w:b/>
          <w:sz w:val="20"/>
          <w:szCs w:val="20"/>
        </w:rPr>
        <w:t xml:space="preserve">)  </w:t>
      </w:r>
      <w:r w:rsidR="003E13C8" w:rsidRPr="0011257F">
        <w:rPr>
          <w:b/>
          <w:sz w:val="20"/>
          <w:szCs w:val="20"/>
          <w:u w:val="single"/>
        </w:rPr>
        <w:t>Communication:</w:t>
      </w:r>
    </w:p>
    <w:p w:rsidR="00790FD6" w:rsidRPr="0011257F" w:rsidRDefault="00790FD6" w:rsidP="00790FD6">
      <w:pPr>
        <w:pStyle w:val="ListParagraph"/>
        <w:numPr>
          <w:ilvl w:val="0"/>
          <w:numId w:val="6"/>
        </w:numPr>
        <w:spacing w:after="200" w:line="276" w:lineRule="auto"/>
        <w:rPr>
          <w:sz w:val="20"/>
          <w:szCs w:val="20"/>
        </w:rPr>
      </w:pPr>
      <w:r w:rsidRPr="0011257F">
        <w:rPr>
          <w:sz w:val="20"/>
          <w:szCs w:val="20"/>
        </w:rPr>
        <w:t>Face to face interaction each morning at beginning of the work day.</w:t>
      </w:r>
    </w:p>
    <w:p w:rsidR="00790FD6" w:rsidRPr="0011257F" w:rsidRDefault="00790FD6" w:rsidP="00790FD6">
      <w:pPr>
        <w:pStyle w:val="ListParagraph"/>
        <w:numPr>
          <w:ilvl w:val="0"/>
          <w:numId w:val="6"/>
        </w:numPr>
        <w:spacing w:after="200" w:line="276" w:lineRule="auto"/>
        <w:rPr>
          <w:sz w:val="20"/>
          <w:szCs w:val="20"/>
        </w:rPr>
      </w:pPr>
      <w:r w:rsidRPr="0011257F">
        <w:rPr>
          <w:sz w:val="20"/>
          <w:szCs w:val="20"/>
        </w:rPr>
        <w:t>Email should be checked by pharmacy resident at the beginning, middle, and end of shift at a minimum for ongoing communication.</w:t>
      </w:r>
    </w:p>
    <w:p w:rsidR="00790FD6" w:rsidRPr="0011257F" w:rsidRDefault="00790FD6" w:rsidP="00790FD6">
      <w:pPr>
        <w:pStyle w:val="ListParagraph"/>
        <w:numPr>
          <w:ilvl w:val="0"/>
          <w:numId w:val="6"/>
        </w:numPr>
        <w:spacing w:after="200" w:line="276" w:lineRule="auto"/>
        <w:rPr>
          <w:sz w:val="20"/>
          <w:szCs w:val="20"/>
        </w:rPr>
      </w:pPr>
      <w:r w:rsidRPr="0011257F">
        <w:rPr>
          <w:sz w:val="20"/>
          <w:szCs w:val="20"/>
        </w:rPr>
        <w:t>Satellite extension/preceptor pager for urgent communication needs.</w:t>
      </w:r>
    </w:p>
    <w:p w:rsidR="004C6BF7" w:rsidRPr="0011257F" w:rsidRDefault="00790FD6" w:rsidP="004C6BF7">
      <w:pPr>
        <w:pStyle w:val="ListParagraph"/>
        <w:numPr>
          <w:ilvl w:val="0"/>
          <w:numId w:val="6"/>
        </w:numPr>
        <w:spacing w:after="200" w:line="276" w:lineRule="auto"/>
        <w:rPr>
          <w:sz w:val="20"/>
          <w:szCs w:val="20"/>
        </w:rPr>
      </w:pPr>
      <w:r w:rsidRPr="0011257F">
        <w:rPr>
          <w:sz w:val="20"/>
          <w:szCs w:val="20"/>
        </w:rPr>
        <w:t>Personal phone number will be provided at the beginning of the rotation</w:t>
      </w:r>
    </w:p>
    <w:p w:rsidR="003E13C8" w:rsidRPr="0011257F" w:rsidRDefault="003E13C8" w:rsidP="004C6BF7">
      <w:pPr>
        <w:pStyle w:val="ListParagraph"/>
        <w:numPr>
          <w:ilvl w:val="0"/>
          <w:numId w:val="6"/>
        </w:numPr>
        <w:spacing w:after="200" w:line="276" w:lineRule="auto"/>
        <w:rPr>
          <w:sz w:val="20"/>
          <w:szCs w:val="20"/>
        </w:rPr>
      </w:pPr>
      <w:r w:rsidRPr="0011257F">
        <w:rPr>
          <w:b/>
          <w:sz w:val="20"/>
          <w:szCs w:val="20"/>
          <w:u w:val="single"/>
        </w:rPr>
        <w:t>Expected progression of resident responsibility on this learning experience:</w:t>
      </w:r>
    </w:p>
    <w:p w:rsidR="00D66981" w:rsidRPr="0011257F" w:rsidRDefault="003E13C8" w:rsidP="00F55462">
      <w:pPr>
        <w:pStyle w:val="ListParagraph"/>
        <w:rPr>
          <w:sz w:val="20"/>
          <w:szCs w:val="20"/>
          <w:u w:val="single"/>
        </w:rPr>
      </w:pPr>
      <w:r w:rsidRPr="0011257F">
        <w:rPr>
          <w:b/>
          <w:i/>
          <w:sz w:val="20"/>
          <w:szCs w:val="20"/>
        </w:rPr>
        <w:t>(Length of time preceptor spends in each of the phases will be customized based upon resident’s abilities and timing of the learning experience during the residency training year)</w:t>
      </w:r>
    </w:p>
    <w:p w:rsidR="00790FD6" w:rsidRPr="0011257F" w:rsidRDefault="00790FD6" w:rsidP="00790FD6">
      <w:pPr>
        <w:ind w:left="360"/>
        <w:rPr>
          <w:sz w:val="20"/>
          <w:szCs w:val="20"/>
        </w:rPr>
      </w:pPr>
      <w:r w:rsidRPr="0011257F">
        <w:rPr>
          <w:sz w:val="20"/>
          <w:szCs w:val="20"/>
        </w:rPr>
        <w:t>Day 1:</w:t>
      </w:r>
      <w:r w:rsidRPr="0011257F">
        <w:rPr>
          <w:sz w:val="20"/>
          <w:szCs w:val="20"/>
        </w:rPr>
        <w:tab/>
      </w:r>
      <w:r w:rsidRPr="0011257F">
        <w:rPr>
          <w:sz w:val="20"/>
          <w:szCs w:val="20"/>
        </w:rPr>
        <w:tab/>
        <w:t>Review of schedule, expectations, goals, and assignments</w:t>
      </w:r>
    </w:p>
    <w:p w:rsidR="00790FD6" w:rsidRPr="0011257F" w:rsidRDefault="00790FD6" w:rsidP="00790FD6">
      <w:pPr>
        <w:ind w:left="720"/>
        <w:rPr>
          <w:sz w:val="20"/>
          <w:szCs w:val="20"/>
        </w:rPr>
      </w:pPr>
    </w:p>
    <w:p w:rsidR="00790FD6" w:rsidRPr="0011257F" w:rsidRDefault="00790FD6" w:rsidP="00790FD6">
      <w:pPr>
        <w:ind w:left="360"/>
        <w:rPr>
          <w:sz w:val="20"/>
          <w:szCs w:val="20"/>
        </w:rPr>
      </w:pPr>
      <w:r w:rsidRPr="0011257F">
        <w:rPr>
          <w:sz w:val="20"/>
          <w:szCs w:val="20"/>
        </w:rPr>
        <w:t>Week 1:</w:t>
      </w:r>
      <w:r w:rsidRPr="0011257F">
        <w:rPr>
          <w:sz w:val="20"/>
          <w:szCs w:val="20"/>
        </w:rPr>
        <w:tab/>
        <w:t xml:space="preserve"> </w:t>
      </w:r>
      <w:r w:rsidRPr="0011257F">
        <w:rPr>
          <w:sz w:val="20"/>
          <w:szCs w:val="20"/>
        </w:rPr>
        <w:tab/>
        <w:t xml:space="preserve">Focus on PTD/Renal dosing. Perform order entry as able. Review disease </w:t>
      </w:r>
      <w:r w:rsidRPr="0011257F">
        <w:rPr>
          <w:sz w:val="20"/>
          <w:szCs w:val="20"/>
        </w:rPr>
        <w:tab/>
      </w:r>
      <w:r w:rsidRPr="0011257F">
        <w:rPr>
          <w:sz w:val="20"/>
          <w:szCs w:val="20"/>
        </w:rPr>
        <w:tab/>
      </w:r>
      <w:r w:rsidRPr="0011257F">
        <w:rPr>
          <w:sz w:val="20"/>
          <w:szCs w:val="20"/>
        </w:rPr>
        <w:tab/>
      </w:r>
      <w:r w:rsidRPr="0011257F">
        <w:rPr>
          <w:sz w:val="20"/>
          <w:szCs w:val="20"/>
        </w:rPr>
        <w:tab/>
        <w:t>state and guidelines as assigned.</w:t>
      </w:r>
      <w:r w:rsidRPr="0011257F">
        <w:rPr>
          <w:sz w:val="20"/>
          <w:szCs w:val="20"/>
        </w:rPr>
        <w:tab/>
      </w:r>
    </w:p>
    <w:p w:rsidR="00790FD6" w:rsidRPr="0011257F" w:rsidRDefault="00790FD6" w:rsidP="00790FD6">
      <w:pPr>
        <w:ind w:left="360"/>
        <w:rPr>
          <w:sz w:val="20"/>
          <w:szCs w:val="20"/>
        </w:rPr>
      </w:pPr>
    </w:p>
    <w:p w:rsidR="00790FD6" w:rsidRPr="0011257F" w:rsidRDefault="00790FD6" w:rsidP="00790FD6">
      <w:pPr>
        <w:ind w:left="360"/>
        <w:rPr>
          <w:sz w:val="20"/>
          <w:szCs w:val="20"/>
        </w:rPr>
      </w:pPr>
      <w:r w:rsidRPr="0011257F">
        <w:rPr>
          <w:sz w:val="20"/>
          <w:szCs w:val="20"/>
        </w:rPr>
        <w:t>Week 2:</w:t>
      </w:r>
      <w:r w:rsidRPr="0011257F">
        <w:rPr>
          <w:sz w:val="20"/>
          <w:szCs w:val="20"/>
        </w:rPr>
        <w:tab/>
        <w:t xml:space="preserve"> </w:t>
      </w:r>
      <w:r w:rsidRPr="0011257F">
        <w:rPr>
          <w:sz w:val="20"/>
          <w:szCs w:val="20"/>
        </w:rPr>
        <w:tab/>
        <w:t xml:space="preserve">Complete PTD/Renal dosing, order entry, disease state/guideline review as </w:t>
      </w:r>
      <w:r w:rsidRPr="0011257F">
        <w:rPr>
          <w:sz w:val="20"/>
          <w:szCs w:val="20"/>
        </w:rPr>
        <w:tab/>
      </w:r>
      <w:r w:rsidRPr="0011257F">
        <w:rPr>
          <w:sz w:val="20"/>
          <w:szCs w:val="20"/>
        </w:rPr>
        <w:tab/>
      </w:r>
      <w:r w:rsidRPr="0011257F">
        <w:rPr>
          <w:sz w:val="20"/>
          <w:szCs w:val="20"/>
        </w:rPr>
        <w:tab/>
        <w:t xml:space="preserve">assigned. Potential for shadowing/observation/rounding opportunities. </w:t>
      </w:r>
      <w:r w:rsidRPr="0011257F">
        <w:rPr>
          <w:sz w:val="20"/>
          <w:szCs w:val="20"/>
        </w:rPr>
        <w:tab/>
      </w:r>
      <w:r w:rsidRPr="0011257F">
        <w:rPr>
          <w:sz w:val="20"/>
          <w:szCs w:val="20"/>
        </w:rPr>
        <w:tab/>
      </w:r>
      <w:r w:rsidRPr="0011257F">
        <w:rPr>
          <w:sz w:val="20"/>
          <w:szCs w:val="20"/>
        </w:rPr>
        <w:tab/>
      </w:r>
      <w:r w:rsidRPr="0011257F">
        <w:rPr>
          <w:sz w:val="20"/>
          <w:szCs w:val="20"/>
        </w:rPr>
        <w:tab/>
        <w:t>Guideline presentation.</w:t>
      </w:r>
    </w:p>
    <w:p w:rsidR="00790FD6" w:rsidRPr="0011257F" w:rsidRDefault="00790FD6" w:rsidP="00790FD6">
      <w:pPr>
        <w:ind w:left="360"/>
        <w:rPr>
          <w:sz w:val="20"/>
          <w:szCs w:val="20"/>
        </w:rPr>
      </w:pPr>
    </w:p>
    <w:p w:rsidR="00790FD6" w:rsidRPr="0011257F" w:rsidRDefault="00790FD6" w:rsidP="00790FD6">
      <w:pPr>
        <w:ind w:left="360"/>
        <w:rPr>
          <w:sz w:val="20"/>
          <w:szCs w:val="20"/>
        </w:rPr>
      </w:pPr>
      <w:r w:rsidRPr="0011257F">
        <w:rPr>
          <w:sz w:val="20"/>
          <w:szCs w:val="20"/>
        </w:rPr>
        <w:t xml:space="preserve">Week 3: </w:t>
      </w:r>
      <w:r w:rsidRPr="0011257F">
        <w:rPr>
          <w:sz w:val="20"/>
          <w:szCs w:val="20"/>
        </w:rPr>
        <w:tab/>
      </w:r>
      <w:r w:rsidRPr="0011257F">
        <w:rPr>
          <w:sz w:val="20"/>
          <w:szCs w:val="20"/>
        </w:rPr>
        <w:tab/>
        <w:t xml:space="preserve">Complete PTD/Renal dosing, order entry, patient medication profile </w:t>
      </w:r>
      <w:r w:rsidRPr="0011257F">
        <w:rPr>
          <w:sz w:val="20"/>
          <w:szCs w:val="20"/>
        </w:rPr>
        <w:tab/>
      </w:r>
      <w:r w:rsidRPr="0011257F">
        <w:rPr>
          <w:sz w:val="20"/>
          <w:szCs w:val="20"/>
        </w:rPr>
        <w:tab/>
      </w:r>
      <w:r w:rsidRPr="0011257F">
        <w:rPr>
          <w:sz w:val="20"/>
          <w:szCs w:val="20"/>
        </w:rPr>
        <w:tab/>
      </w:r>
      <w:r w:rsidRPr="0011257F">
        <w:rPr>
          <w:sz w:val="20"/>
          <w:szCs w:val="20"/>
        </w:rPr>
        <w:tab/>
        <w:t xml:space="preserve">reviews, report review, disease state/guideline review as assigned. </w:t>
      </w:r>
      <w:r w:rsidRPr="0011257F">
        <w:rPr>
          <w:sz w:val="20"/>
          <w:szCs w:val="20"/>
        </w:rPr>
        <w:tab/>
      </w:r>
      <w:r w:rsidRPr="0011257F">
        <w:rPr>
          <w:sz w:val="20"/>
          <w:szCs w:val="20"/>
        </w:rPr>
        <w:tab/>
      </w:r>
      <w:r w:rsidRPr="0011257F">
        <w:rPr>
          <w:sz w:val="20"/>
          <w:szCs w:val="20"/>
        </w:rPr>
        <w:tab/>
      </w:r>
      <w:r w:rsidRPr="0011257F">
        <w:rPr>
          <w:sz w:val="20"/>
          <w:szCs w:val="20"/>
        </w:rPr>
        <w:tab/>
      </w:r>
      <w:r w:rsidRPr="0011257F">
        <w:rPr>
          <w:sz w:val="20"/>
          <w:szCs w:val="20"/>
        </w:rPr>
        <w:tab/>
        <w:t xml:space="preserve">Potential for shadowing/observation/rounding opportunities. </w:t>
      </w:r>
    </w:p>
    <w:p w:rsidR="00790FD6" w:rsidRPr="0011257F" w:rsidRDefault="00790FD6" w:rsidP="00790FD6">
      <w:pPr>
        <w:ind w:left="360"/>
        <w:rPr>
          <w:sz w:val="20"/>
          <w:szCs w:val="20"/>
        </w:rPr>
      </w:pPr>
    </w:p>
    <w:p w:rsidR="00790FD6" w:rsidRPr="0011257F" w:rsidRDefault="00790FD6" w:rsidP="004C6BF7">
      <w:pPr>
        <w:ind w:left="360"/>
        <w:rPr>
          <w:sz w:val="20"/>
          <w:szCs w:val="20"/>
        </w:rPr>
      </w:pPr>
      <w:r w:rsidRPr="0011257F">
        <w:rPr>
          <w:sz w:val="20"/>
          <w:szCs w:val="20"/>
        </w:rPr>
        <w:t>Week 4:</w:t>
      </w:r>
      <w:r w:rsidRPr="0011257F">
        <w:rPr>
          <w:sz w:val="20"/>
          <w:szCs w:val="20"/>
        </w:rPr>
        <w:tab/>
      </w:r>
      <w:r w:rsidRPr="0011257F">
        <w:rPr>
          <w:sz w:val="20"/>
          <w:szCs w:val="20"/>
        </w:rPr>
        <w:tab/>
        <w:t xml:space="preserve">Complete PTD/Renal dosing, order entry, report review, disease </w:t>
      </w:r>
      <w:r w:rsidRPr="0011257F">
        <w:rPr>
          <w:sz w:val="20"/>
          <w:szCs w:val="20"/>
        </w:rPr>
        <w:tab/>
      </w:r>
      <w:r w:rsidRPr="0011257F">
        <w:rPr>
          <w:sz w:val="20"/>
          <w:szCs w:val="20"/>
        </w:rPr>
        <w:tab/>
      </w:r>
      <w:r w:rsidRPr="0011257F">
        <w:rPr>
          <w:sz w:val="20"/>
          <w:szCs w:val="20"/>
        </w:rPr>
        <w:tab/>
      </w:r>
      <w:r w:rsidRPr="0011257F">
        <w:rPr>
          <w:sz w:val="20"/>
          <w:szCs w:val="20"/>
        </w:rPr>
        <w:tab/>
      </w:r>
      <w:r w:rsidRPr="0011257F">
        <w:rPr>
          <w:sz w:val="20"/>
          <w:szCs w:val="20"/>
        </w:rPr>
        <w:tab/>
        <w:t xml:space="preserve">state/guideline review as assigned. Potential for </w:t>
      </w:r>
      <w:r w:rsidRPr="0011257F">
        <w:rPr>
          <w:sz w:val="20"/>
          <w:szCs w:val="20"/>
        </w:rPr>
        <w:tab/>
      </w:r>
      <w:r w:rsidRPr="0011257F">
        <w:rPr>
          <w:sz w:val="20"/>
          <w:szCs w:val="20"/>
        </w:rPr>
        <w:tab/>
      </w:r>
      <w:r w:rsidRPr="0011257F">
        <w:rPr>
          <w:sz w:val="20"/>
          <w:szCs w:val="20"/>
        </w:rPr>
        <w:tab/>
      </w:r>
      <w:r w:rsidRPr="0011257F">
        <w:rPr>
          <w:sz w:val="20"/>
          <w:szCs w:val="20"/>
        </w:rPr>
        <w:tab/>
      </w:r>
      <w:r w:rsidRPr="0011257F">
        <w:rPr>
          <w:sz w:val="20"/>
          <w:szCs w:val="20"/>
        </w:rPr>
        <w:tab/>
      </w:r>
      <w:r w:rsidRPr="0011257F">
        <w:rPr>
          <w:sz w:val="20"/>
          <w:szCs w:val="20"/>
        </w:rPr>
        <w:tab/>
      </w:r>
      <w:r w:rsidRPr="0011257F">
        <w:rPr>
          <w:sz w:val="20"/>
          <w:szCs w:val="20"/>
        </w:rPr>
        <w:tab/>
        <w:t xml:space="preserve">shadowing/observation/rounding opportunities. Case or topic presentation. </w:t>
      </w:r>
    </w:p>
    <w:p w:rsidR="00647F51" w:rsidRPr="0011257F" w:rsidRDefault="00647F51" w:rsidP="004C6BF7">
      <w:pPr>
        <w:ind w:left="360"/>
        <w:rPr>
          <w:sz w:val="20"/>
          <w:szCs w:val="20"/>
        </w:rPr>
      </w:pPr>
    </w:p>
    <w:p w:rsidR="00015BC5" w:rsidRPr="00250E4B" w:rsidRDefault="00015BC5" w:rsidP="00250E4B">
      <w:pPr>
        <w:pStyle w:val="ListParagraph"/>
        <w:numPr>
          <w:ilvl w:val="0"/>
          <w:numId w:val="16"/>
        </w:numPr>
        <w:jc w:val="both"/>
        <w:outlineLvl w:val="0"/>
        <w:rPr>
          <w:b/>
          <w:sz w:val="20"/>
          <w:szCs w:val="20"/>
          <w:u w:val="single"/>
        </w:rPr>
      </w:pPr>
      <w:bookmarkStart w:id="0" w:name="_GoBack"/>
      <w:bookmarkEnd w:id="0"/>
      <w:r w:rsidRPr="00250E4B">
        <w:rPr>
          <w:b/>
          <w:sz w:val="20"/>
          <w:szCs w:val="20"/>
          <w:u w:val="single"/>
        </w:rPr>
        <w:t>Evaluation Strategy</w:t>
      </w:r>
    </w:p>
    <w:p w:rsidR="00CD24E8" w:rsidRPr="007F4CE9" w:rsidRDefault="007F4CE9" w:rsidP="00CD24E8">
      <w:pPr>
        <w:pStyle w:val="ListParagraph"/>
        <w:jc w:val="both"/>
        <w:rPr>
          <w:sz w:val="20"/>
          <w:szCs w:val="20"/>
        </w:rPr>
      </w:pPr>
      <w:proofErr w:type="spellStart"/>
      <w:r w:rsidRPr="007F4CE9">
        <w:rPr>
          <w:sz w:val="20"/>
          <w:szCs w:val="20"/>
        </w:rPr>
        <w:t>PharmAcademic</w:t>
      </w:r>
      <w:proofErr w:type="spellEnd"/>
      <w:r w:rsidRPr="007F4CE9">
        <w:rPr>
          <w:sz w:val="20"/>
          <w:szCs w:val="20"/>
        </w:rPr>
        <w:t xml:space="preserve"> will be the primary mode of evaluation documentation (see chart below). The resident is to complete a summative self-evaluation, preceptor evaluation, and learning experience evaluations. The preceptor will complete the summative evaluation of the resident. For all end of learning experience evaluations completed in </w:t>
      </w:r>
      <w:proofErr w:type="spellStart"/>
      <w:r w:rsidRPr="007F4CE9">
        <w:rPr>
          <w:sz w:val="20"/>
          <w:szCs w:val="20"/>
        </w:rPr>
        <w:t>PharmAcademic</w:t>
      </w:r>
      <w:proofErr w:type="spellEnd"/>
      <w:r w:rsidRPr="007F4CE9">
        <w:rPr>
          <w:sz w:val="20"/>
          <w:szCs w:val="20"/>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sidRPr="007F4CE9">
        <w:rPr>
          <w:sz w:val="20"/>
          <w:szCs w:val="20"/>
        </w:rPr>
        <w:t>PharmAcademic</w:t>
      </w:r>
      <w:proofErr w:type="spellEnd"/>
      <w:r w:rsidRPr="007F4CE9">
        <w:rPr>
          <w:sz w:val="20"/>
          <w:szCs w:val="20"/>
        </w:rPr>
        <w:t xml:space="preserve"> following the discussion. Throughout the month, verbal feedback will be given and the preceptor has the option of using </w:t>
      </w:r>
      <w:proofErr w:type="spellStart"/>
      <w:r w:rsidRPr="007F4CE9">
        <w:rPr>
          <w:sz w:val="20"/>
          <w:szCs w:val="20"/>
        </w:rPr>
        <w:t>PharmAcademic</w:t>
      </w:r>
      <w:proofErr w:type="spellEnd"/>
      <w:r w:rsidRPr="007F4CE9">
        <w:rPr>
          <w:sz w:val="20"/>
          <w:szCs w:val="20"/>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7F4CE9" w:rsidRPr="00CD24E8" w:rsidRDefault="007F4CE9" w:rsidP="00CD24E8">
      <w:pPr>
        <w:pStyle w:val="ListParagraph"/>
        <w:jc w:val="both"/>
        <w:rPr>
          <w:sz w:val="20"/>
          <w:szCs w:val="20"/>
        </w:rPr>
      </w:pPr>
    </w:p>
    <w:tbl>
      <w:tblPr>
        <w:tblStyle w:val="TableGrid"/>
        <w:tblW w:w="0" w:type="auto"/>
        <w:tblLook w:val="04A0" w:firstRow="1" w:lastRow="0" w:firstColumn="1" w:lastColumn="0" w:noHBand="0" w:noVBand="1"/>
      </w:tblPr>
      <w:tblGrid>
        <w:gridCol w:w="3192"/>
        <w:gridCol w:w="2226"/>
        <w:gridCol w:w="4158"/>
      </w:tblGrid>
      <w:tr w:rsidR="00CF5720" w:rsidRPr="00CF5720" w:rsidTr="00877230">
        <w:tc>
          <w:tcPr>
            <w:tcW w:w="3192" w:type="dxa"/>
          </w:tcPr>
          <w:p w:rsidR="00CF5720" w:rsidRPr="00CF5720" w:rsidRDefault="00CF5720" w:rsidP="00877230">
            <w:pPr>
              <w:jc w:val="center"/>
              <w:rPr>
                <w:b/>
                <w:sz w:val="20"/>
                <w:szCs w:val="20"/>
              </w:rPr>
            </w:pPr>
            <w:r w:rsidRPr="00CF5720">
              <w:rPr>
                <w:b/>
                <w:sz w:val="20"/>
                <w:szCs w:val="20"/>
              </w:rPr>
              <w:t>Type of Evaluation</w:t>
            </w:r>
          </w:p>
        </w:tc>
        <w:tc>
          <w:tcPr>
            <w:tcW w:w="2226" w:type="dxa"/>
          </w:tcPr>
          <w:p w:rsidR="00CF5720" w:rsidRPr="00CF5720" w:rsidRDefault="00CF5720" w:rsidP="00877230">
            <w:pPr>
              <w:jc w:val="center"/>
              <w:rPr>
                <w:b/>
                <w:sz w:val="20"/>
                <w:szCs w:val="20"/>
              </w:rPr>
            </w:pPr>
            <w:r w:rsidRPr="00CF5720">
              <w:rPr>
                <w:b/>
                <w:sz w:val="20"/>
                <w:szCs w:val="20"/>
              </w:rPr>
              <w:t>Who Completes the Evaluation</w:t>
            </w:r>
          </w:p>
        </w:tc>
        <w:tc>
          <w:tcPr>
            <w:tcW w:w="4158" w:type="dxa"/>
          </w:tcPr>
          <w:p w:rsidR="00CF5720" w:rsidRPr="00CF5720" w:rsidRDefault="00CF5720" w:rsidP="00877230">
            <w:pPr>
              <w:jc w:val="center"/>
              <w:rPr>
                <w:b/>
                <w:sz w:val="20"/>
                <w:szCs w:val="20"/>
              </w:rPr>
            </w:pPr>
            <w:r w:rsidRPr="00CF5720">
              <w:rPr>
                <w:b/>
                <w:sz w:val="20"/>
                <w:szCs w:val="20"/>
              </w:rPr>
              <w:t>When is the Evaluation Completed</w:t>
            </w:r>
          </w:p>
        </w:tc>
      </w:tr>
      <w:tr w:rsidR="00CF5720" w:rsidRPr="00CF5720" w:rsidTr="00877230">
        <w:tc>
          <w:tcPr>
            <w:tcW w:w="3192" w:type="dxa"/>
          </w:tcPr>
          <w:p w:rsidR="00CF5720" w:rsidRPr="00CF5720" w:rsidRDefault="00CF5720" w:rsidP="00877230">
            <w:pPr>
              <w:rPr>
                <w:sz w:val="20"/>
                <w:szCs w:val="20"/>
              </w:rPr>
            </w:pPr>
            <w:r w:rsidRPr="00CF5720">
              <w:rPr>
                <w:sz w:val="20"/>
                <w:szCs w:val="20"/>
              </w:rPr>
              <w:t>Written and Verbal Formative Feedback</w:t>
            </w:r>
          </w:p>
        </w:tc>
        <w:tc>
          <w:tcPr>
            <w:tcW w:w="2226" w:type="dxa"/>
          </w:tcPr>
          <w:p w:rsidR="00CF5720" w:rsidRPr="00CF5720" w:rsidRDefault="00CF5720" w:rsidP="00877230">
            <w:pPr>
              <w:rPr>
                <w:sz w:val="20"/>
                <w:szCs w:val="20"/>
              </w:rPr>
            </w:pPr>
            <w:r w:rsidRPr="00CF5720">
              <w:rPr>
                <w:sz w:val="20"/>
                <w:szCs w:val="20"/>
              </w:rPr>
              <w:t>Preceptor</w:t>
            </w:r>
          </w:p>
        </w:tc>
        <w:tc>
          <w:tcPr>
            <w:tcW w:w="4158" w:type="dxa"/>
          </w:tcPr>
          <w:p w:rsidR="00CF5720" w:rsidRPr="00CF5720" w:rsidRDefault="00CF5720" w:rsidP="00877230">
            <w:pPr>
              <w:rPr>
                <w:sz w:val="20"/>
                <w:szCs w:val="20"/>
              </w:rPr>
            </w:pPr>
            <w:r w:rsidRPr="00CF5720">
              <w:rPr>
                <w:sz w:val="20"/>
                <w:szCs w:val="20"/>
              </w:rPr>
              <w:t>Throughout rotation based on activities; resident to place written feedback into electronic portfolio</w:t>
            </w:r>
          </w:p>
        </w:tc>
      </w:tr>
      <w:tr w:rsidR="00CF5720" w:rsidRPr="00CF5720" w:rsidTr="00877230">
        <w:tc>
          <w:tcPr>
            <w:tcW w:w="3192" w:type="dxa"/>
          </w:tcPr>
          <w:p w:rsidR="00CF5720" w:rsidRPr="00CF5720" w:rsidRDefault="00CF5720" w:rsidP="00877230">
            <w:pPr>
              <w:rPr>
                <w:sz w:val="20"/>
                <w:szCs w:val="20"/>
              </w:rPr>
            </w:pPr>
            <w:r w:rsidRPr="00CF5720">
              <w:rPr>
                <w:sz w:val="20"/>
                <w:szCs w:val="20"/>
              </w:rPr>
              <w:t>ASHP Preceptor Evaluation</w:t>
            </w:r>
          </w:p>
        </w:tc>
        <w:tc>
          <w:tcPr>
            <w:tcW w:w="2226" w:type="dxa"/>
          </w:tcPr>
          <w:p w:rsidR="00CF5720" w:rsidRPr="00CF5720" w:rsidRDefault="00CF5720" w:rsidP="00877230">
            <w:pPr>
              <w:rPr>
                <w:sz w:val="20"/>
                <w:szCs w:val="20"/>
              </w:rPr>
            </w:pPr>
            <w:r w:rsidRPr="00CF5720">
              <w:rPr>
                <w:sz w:val="20"/>
                <w:szCs w:val="20"/>
              </w:rPr>
              <w:t>Resident</w:t>
            </w:r>
          </w:p>
        </w:tc>
        <w:tc>
          <w:tcPr>
            <w:tcW w:w="4158" w:type="dxa"/>
          </w:tcPr>
          <w:p w:rsidR="00CF5720" w:rsidRPr="00CF5720" w:rsidRDefault="00CF5720" w:rsidP="00877230">
            <w:pPr>
              <w:rPr>
                <w:sz w:val="20"/>
                <w:szCs w:val="20"/>
              </w:rPr>
            </w:pPr>
            <w:r w:rsidRPr="00CF5720">
              <w:rPr>
                <w:sz w:val="20"/>
                <w:szCs w:val="20"/>
              </w:rPr>
              <w:t>End of learning experience</w:t>
            </w:r>
          </w:p>
        </w:tc>
      </w:tr>
      <w:tr w:rsidR="00CF5720" w:rsidRPr="00CF5720" w:rsidTr="00877230">
        <w:tc>
          <w:tcPr>
            <w:tcW w:w="3192" w:type="dxa"/>
          </w:tcPr>
          <w:p w:rsidR="00CF5720" w:rsidRPr="00CF5720" w:rsidRDefault="00CF5720" w:rsidP="00877230">
            <w:pPr>
              <w:rPr>
                <w:sz w:val="20"/>
                <w:szCs w:val="20"/>
              </w:rPr>
            </w:pPr>
            <w:r w:rsidRPr="00CF5720">
              <w:rPr>
                <w:sz w:val="20"/>
                <w:szCs w:val="20"/>
              </w:rPr>
              <w:t>ASHP Learning Experience Evaluation</w:t>
            </w:r>
          </w:p>
        </w:tc>
        <w:tc>
          <w:tcPr>
            <w:tcW w:w="2226" w:type="dxa"/>
          </w:tcPr>
          <w:p w:rsidR="00CF5720" w:rsidRPr="00CF5720" w:rsidRDefault="00CF5720" w:rsidP="00877230">
            <w:pPr>
              <w:rPr>
                <w:sz w:val="20"/>
                <w:szCs w:val="20"/>
              </w:rPr>
            </w:pPr>
            <w:r w:rsidRPr="00CF5720">
              <w:rPr>
                <w:sz w:val="20"/>
                <w:szCs w:val="20"/>
              </w:rPr>
              <w:t>Resident</w:t>
            </w:r>
          </w:p>
        </w:tc>
        <w:tc>
          <w:tcPr>
            <w:tcW w:w="4158" w:type="dxa"/>
          </w:tcPr>
          <w:p w:rsidR="00CF5720" w:rsidRPr="00CF5720" w:rsidRDefault="00CF5720" w:rsidP="00877230">
            <w:pPr>
              <w:rPr>
                <w:sz w:val="20"/>
                <w:szCs w:val="20"/>
              </w:rPr>
            </w:pPr>
            <w:r w:rsidRPr="00CF5720">
              <w:rPr>
                <w:sz w:val="20"/>
                <w:szCs w:val="20"/>
              </w:rPr>
              <w:t>End of learning experience</w:t>
            </w:r>
          </w:p>
        </w:tc>
      </w:tr>
      <w:tr w:rsidR="00CF5720" w:rsidRPr="00CF5720" w:rsidTr="00877230">
        <w:tc>
          <w:tcPr>
            <w:tcW w:w="3192" w:type="dxa"/>
          </w:tcPr>
          <w:p w:rsidR="00CF5720" w:rsidRPr="00CF5720" w:rsidRDefault="00CF5720" w:rsidP="00877230">
            <w:pPr>
              <w:rPr>
                <w:sz w:val="20"/>
                <w:szCs w:val="20"/>
              </w:rPr>
            </w:pPr>
            <w:r w:rsidRPr="00CF5720">
              <w:rPr>
                <w:sz w:val="20"/>
                <w:szCs w:val="20"/>
              </w:rPr>
              <w:t>Summative Self-evaluation</w:t>
            </w:r>
          </w:p>
        </w:tc>
        <w:tc>
          <w:tcPr>
            <w:tcW w:w="2226" w:type="dxa"/>
          </w:tcPr>
          <w:p w:rsidR="00CF5720" w:rsidRPr="00CF5720" w:rsidRDefault="00CF5720" w:rsidP="00877230">
            <w:pPr>
              <w:rPr>
                <w:sz w:val="20"/>
                <w:szCs w:val="20"/>
              </w:rPr>
            </w:pPr>
            <w:r w:rsidRPr="00CF5720">
              <w:rPr>
                <w:sz w:val="20"/>
                <w:szCs w:val="20"/>
              </w:rPr>
              <w:t>Resident</w:t>
            </w:r>
          </w:p>
        </w:tc>
        <w:tc>
          <w:tcPr>
            <w:tcW w:w="4158" w:type="dxa"/>
          </w:tcPr>
          <w:p w:rsidR="00CF5720" w:rsidRPr="00CF5720" w:rsidRDefault="00CF5720" w:rsidP="00877230">
            <w:pPr>
              <w:rPr>
                <w:sz w:val="20"/>
                <w:szCs w:val="20"/>
              </w:rPr>
            </w:pPr>
            <w:r w:rsidRPr="00CF5720">
              <w:rPr>
                <w:sz w:val="20"/>
                <w:szCs w:val="20"/>
              </w:rPr>
              <w:t>End of learning experience</w:t>
            </w:r>
          </w:p>
        </w:tc>
      </w:tr>
      <w:tr w:rsidR="00CF5720" w:rsidRPr="00CF5720" w:rsidTr="00877230">
        <w:tc>
          <w:tcPr>
            <w:tcW w:w="3192" w:type="dxa"/>
          </w:tcPr>
          <w:p w:rsidR="00CF5720" w:rsidRPr="00CF5720" w:rsidRDefault="00CF5720" w:rsidP="00877230">
            <w:pPr>
              <w:rPr>
                <w:sz w:val="20"/>
                <w:szCs w:val="20"/>
              </w:rPr>
            </w:pPr>
            <w:r w:rsidRPr="00CF5720">
              <w:rPr>
                <w:sz w:val="20"/>
                <w:szCs w:val="20"/>
              </w:rPr>
              <w:t>Summative Evaluation</w:t>
            </w:r>
          </w:p>
        </w:tc>
        <w:tc>
          <w:tcPr>
            <w:tcW w:w="2226" w:type="dxa"/>
          </w:tcPr>
          <w:p w:rsidR="00CF5720" w:rsidRPr="00CF5720" w:rsidRDefault="00CF5720" w:rsidP="00877230">
            <w:pPr>
              <w:rPr>
                <w:sz w:val="20"/>
                <w:szCs w:val="20"/>
              </w:rPr>
            </w:pPr>
            <w:r w:rsidRPr="00CF5720">
              <w:rPr>
                <w:sz w:val="20"/>
                <w:szCs w:val="20"/>
              </w:rPr>
              <w:t>Preceptor</w:t>
            </w:r>
          </w:p>
        </w:tc>
        <w:tc>
          <w:tcPr>
            <w:tcW w:w="4158" w:type="dxa"/>
          </w:tcPr>
          <w:p w:rsidR="00CF5720" w:rsidRPr="00CF5720" w:rsidRDefault="00CF5720" w:rsidP="00877230">
            <w:pPr>
              <w:rPr>
                <w:sz w:val="20"/>
                <w:szCs w:val="20"/>
              </w:rPr>
            </w:pPr>
            <w:r w:rsidRPr="00CF5720">
              <w:rPr>
                <w:sz w:val="20"/>
                <w:szCs w:val="20"/>
              </w:rPr>
              <w:t>End of learning experience</w:t>
            </w:r>
          </w:p>
        </w:tc>
      </w:tr>
    </w:tbl>
    <w:p w:rsidR="00CD24E8" w:rsidRPr="00CD24E8" w:rsidRDefault="00CD24E8" w:rsidP="00CD24E8">
      <w:pPr>
        <w:pStyle w:val="ListParagraph"/>
        <w:rPr>
          <w:b/>
        </w:rPr>
      </w:pPr>
    </w:p>
    <w:p w:rsidR="00AA11EE" w:rsidRPr="0011257F" w:rsidRDefault="00AA11EE" w:rsidP="000A0E29">
      <w:pPr>
        <w:pStyle w:val="ListParagraph"/>
        <w:rPr>
          <w:b/>
          <w:sz w:val="20"/>
          <w:szCs w:val="20"/>
        </w:rPr>
      </w:pPr>
    </w:p>
    <w:sectPr w:rsidR="00AA11EE" w:rsidRPr="0011257F" w:rsidSect="0011257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590"/>
    <w:multiLevelType w:val="hybridMultilevel"/>
    <w:tmpl w:val="E2FEBB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361DB"/>
    <w:multiLevelType w:val="hybridMultilevel"/>
    <w:tmpl w:val="BCDE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0596"/>
    <w:multiLevelType w:val="hybridMultilevel"/>
    <w:tmpl w:val="05D62292"/>
    <w:lvl w:ilvl="0" w:tplc="ACBC54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962C8B"/>
    <w:multiLevelType w:val="hybridMultilevel"/>
    <w:tmpl w:val="34A611B4"/>
    <w:lvl w:ilvl="0" w:tplc="B5F8917A">
      <w:start w:val="7"/>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1E3187C"/>
    <w:multiLevelType w:val="hybridMultilevel"/>
    <w:tmpl w:val="297CD0D2"/>
    <w:lvl w:ilvl="0" w:tplc="E00A9F3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9C2B4A"/>
    <w:multiLevelType w:val="hybridMultilevel"/>
    <w:tmpl w:val="F64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2A2388"/>
    <w:multiLevelType w:val="hybridMultilevel"/>
    <w:tmpl w:val="988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2216E"/>
    <w:multiLevelType w:val="hybridMultilevel"/>
    <w:tmpl w:val="8BEEB212"/>
    <w:lvl w:ilvl="0" w:tplc="F578BB1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86590C"/>
    <w:multiLevelType w:val="hybridMultilevel"/>
    <w:tmpl w:val="FA702C3C"/>
    <w:lvl w:ilvl="0" w:tplc="2D104BE2">
      <w:start w:val="1"/>
      <w:numFmt w:val="bullet"/>
      <w:lvlText w:val=""/>
      <w:lvlJc w:val="left"/>
      <w:pPr>
        <w:ind w:left="720" w:hanging="360"/>
      </w:pPr>
      <w:rPr>
        <w:rFonts w:ascii="Symbol" w:hAnsi="Symbol" w:hint="default"/>
      </w:rPr>
    </w:lvl>
    <w:lvl w:ilvl="1" w:tplc="13F0565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1"/>
  </w:num>
  <w:num w:numId="5">
    <w:abstractNumId w:val="7"/>
  </w:num>
  <w:num w:numId="6">
    <w:abstractNumId w:val="4"/>
  </w:num>
  <w:num w:numId="7">
    <w:abstractNumId w:val="12"/>
  </w:num>
  <w:num w:numId="8">
    <w:abstractNumId w:val="9"/>
  </w:num>
  <w:num w:numId="9">
    <w:abstractNumId w:val="14"/>
  </w:num>
  <w:num w:numId="10">
    <w:abstractNumId w:val="0"/>
  </w:num>
  <w:num w:numId="11">
    <w:abstractNumId w:val="8"/>
  </w:num>
  <w:num w:numId="12">
    <w:abstractNumId w:val="10"/>
  </w:num>
  <w:num w:numId="13">
    <w:abstractNumId w:val="13"/>
  </w:num>
  <w:num w:numId="14">
    <w:abstractNumId w:val="2"/>
  </w:num>
  <w:num w:numId="1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05A19"/>
    <w:rsid w:val="00015BC5"/>
    <w:rsid w:val="00024867"/>
    <w:rsid w:val="00031E09"/>
    <w:rsid w:val="00067A50"/>
    <w:rsid w:val="00073E0C"/>
    <w:rsid w:val="00096573"/>
    <w:rsid w:val="000A0E29"/>
    <w:rsid w:val="000D2120"/>
    <w:rsid w:val="0011257F"/>
    <w:rsid w:val="001156BF"/>
    <w:rsid w:val="0015774A"/>
    <w:rsid w:val="0021101F"/>
    <w:rsid w:val="00225703"/>
    <w:rsid w:val="00250E4B"/>
    <w:rsid w:val="002651E4"/>
    <w:rsid w:val="00284B47"/>
    <w:rsid w:val="002E6B71"/>
    <w:rsid w:val="00320FF8"/>
    <w:rsid w:val="00390C0E"/>
    <w:rsid w:val="003E13C8"/>
    <w:rsid w:val="003E4A63"/>
    <w:rsid w:val="003F4E77"/>
    <w:rsid w:val="00413B88"/>
    <w:rsid w:val="0047245C"/>
    <w:rsid w:val="004C2F47"/>
    <w:rsid w:val="004C6BF7"/>
    <w:rsid w:val="005067C4"/>
    <w:rsid w:val="00522C2E"/>
    <w:rsid w:val="00553A11"/>
    <w:rsid w:val="005635E1"/>
    <w:rsid w:val="00575FB9"/>
    <w:rsid w:val="005B0B0C"/>
    <w:rsid w:val="005B1245"/>
    <w:rsid w:val="00610098"/>
    <w:rsid w:val="00614645"/>
    <w:rsid w:val="006232EC"/>
    <w:rsid w:val="00647F51"/>
    <w:rsid w:val="0066534C"/>
    <w:rsid w:val="00670254"/>
    <w:rsid w:val="00672350"/>
    <w:rsid w:val="00693D87"/>
    <w:rsid w:val="006B6816"/>
    <w:rsid w:val="006F31D1"/>
    <w:rsid w:val="007144B6"/>
    <w:rsid w:val="00721A55"/>
    <w:rsid w:val="00730763"/>
    <w:rsid w:val="0073672E"/>
    <w:rsid w:val="0076160A"/>
    <w:rsid w:val="0078465C"/>
    <w:rsid w:val="00790FD6"/>
    <w:rsid w:val="0079404C"/>
    <w:rsid w:val="007F4CE9"/>
    <w:rsid w:val="00815220"/>
    <w:rsid w:val="0084253F"/>
    <w:rsid w:val="00844861"/>
    <w:rsid w:val="008717FB"/>
    <w:rsid w:val="008D70B6"/>
    <w:rsid w:val="008E1E95"/>
    <w:rsid w:val="009317DF"/>
    <w:rsid w:val="009738F9"/>
    <w:rsid w:val="00984C68"/>
    <w:rsid w:val="009C4C01"/>
    <w:rsid w:val="009D47E9"/>
    <w:rsid w:val="009E4621"/>
    <w:rsid w:val="00A42E78"/>
    <w:rsid w:val="00A716BF"/>
    <w:rsid w:val="00AA11EE"/>
    <w:rsid w:val="00AB3376"/>
    <w:rsid w:val="00BA38E6"/>
    <w:rsid w:val="00BE5FC0"/>
    <w:rsid w:val="00BF0204"/>
    <w:rsid w:val="00C24D2F"/>
    <w:rsid w:val="00C431A7"/>
    <w:rsid w:val="00C662C5"/>
    <w:rsid w:val="00CA3F8B"/>
    <w:rsid w:val="00CB07C3"/>
    <w:rsid w:val="00CB3793"/>
    <w:rsid w:val="00CD24E8"/>
    <w:rsid w:val="00CF5720"/>
    <w:rsid w:val="00D227EC"/>
    <w:rsid w:val="00D2290A"/>
    <w:rsid w:val="00D50E80"/>
    <w:rsid w:val="00D66981"/>
    <w:rsid w:val="00DC57C1"/>
    <w:rsid w:val="00DC7ACE"/>
    <w:rsid w:val="00E22358"/>
    <w:rsid w:val="00E5036D"/>
    <w:rsid w:val="00E71399"/>
    <w:rsid w:val="00F0287F"/>
    <w:rsid w:val="00F03656"/>
    <w:rsid w:val="00F1667C"/>
    <w:rsid w:val="00F42A98"/>
    <w:rsid w:val="00F55462"/>
    <w:rsid w:val="00F57262"/>
    <w:rsid w:val="00F84523"/>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2205D-9CEE-4437-B268-F47FBB20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table" w:styleId="TableGrid">
    <w:name w:val="Table Grid"/>
    <w:basedOn w:val="TableNormal"/>
    <w:uiPriority w:val="59"/>
    <w:rsid w:val="00F42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71107">
      <w:bodyDiv w:val="1"/>
      <w:marLeft w:val="0"/>
      <w:marRight w:val="0"/>
      <w:marTop w:val="0"/>
      <w:marBottom w:val="0"/>
      <w:divBdr>
        <w:top w:val="none" w:sz="0" w:space="0" w:color="auto"/>
        <w:left w:val="none" w:sz="0" w:space="0" w:color="auto"/>
        <w:bottom w:val="none" w:sz="0" w:space="0" w:color="auto"/>
        <w:right w:val="none" w:sz="0" w:space="0" w:color="auto"/>
      </w:divBdr>
    </w:div>
    <w:div w:id="816070088">
      <w:bodyDiv w:val="1"/>
      <w:marLeft w:val="0"/>
      <w:marRight w:val="0"/>
      <w:marTop w:val="0"/>
      <w:marBottom w:val="0"/>
      <w:divBdr>
        <w:top w:val="none" w:sz="0" w:space="0" w:color="auto"/>
        <w:left w:val="none" w:sz="0" w:space="0" w:color="auto"/>
        <w:bottom w:val="none" w:sz="0" w:space="0" w:color="auto"/>
        <w:right w:val="none" w:sz="0" w:space="0" w:color="auto"/>
      </w:divBdr>
    </w:div>
    <w:div w:id="11987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7</cp:revision>
  <cp:lastPrinted>2014-07-02T18:15:00Z</cp:lastPrinted>
  <dcterms:created xsi:type="dcterms:W3CDTF">2017-06-28T17:39:00Z</dcterms:created>
  <dcterms:modified xsi:type="dcterms:W3CDTF">2017-09-13T21:14:00Z</dcterms:modified>
</cp:coreProperties>
</file>