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C1" w:rsidRDefault="00AD7CB7" w:rsidP="003E13C8">
      <w:pPr>
        <w:ind w:firstLine="360"/>
        <w:rPr>
          <w:b/>
          <w:sz w:val="32"/>
          <w:u w:val="single"/>
        </w:rPr>
      </w:pPr>
      <w:r>
        <w:rPr>
          <w:noProof/>
        </w:rPr>
        <w:drawing>
          <wp:inline distT="0" distB="0" distL="0" distR="0">
            <wp:extent cx="1578610" cy="7162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8610" cy="716280"/>
                    </a:xfrm>
                    <a:prstGeom prst="rect">
                      <a:avLst/>
                    </a:prstGeom>
                    <a:noFill/>
                    <a:ln>
                      <a:noFill/>
                    </a:ln>
                  </pic:spPr>
                </pic:pic>
              </a:graphicData>
            </a:graphic>
          </wp:inline>
        </w:drawing>
      </w:r>
    </w:p>
    <w:p w:rsidR="008730C1" w:rsidRDefault="00AD7CB7" w:rsidP="003E13C8">
      <w:pPr>
        <w:ind w:firstLine="360"/>
        <w:rPr>
          <w:b/>
          <w:sz w:val="32"/>
          <w:u w:val="single"/>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714500" cy="683260"/>
            <wp:effectExtent l="0" t="0" r="0" b="254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pic:spPr>
                </pic:pic>
              </a:graphicData>
            </a:graphic>
            <wp14:sizeRelH relativeFrom="page">
              <wp14:pctWidth>0</wp14:pctWidth>
            </wp14:sizeRelH>
            <wp14:sizeRelV relativeFrom="page">
              <wp14:pctHeight>0</wp14:pctHeight>
            </wp14:sizeRelV>
          </wp:anchor>
        </w:drawing>
      </w:r>
    </w:p>
    <w:p w:rsidR="008730C1" w:rsidRDefault="008730C1" w:rsidP="003E13C8">
      <w:pPr>
        <w:ind w:firstLine="360"/>
        <w:rPr>
          <w:b/>
          <w:sz w:val="32"/>
          <w:u w:val="single"/>
        </w:rPr>
      </w:pPr>
    </w:p>
    <w:p w:rsidR="008730C1" w:rsidRDefault="008730C1" w:rsidP="003E13C8">
      <w:pPr>
        <w:ind w:firstLine="360"/>
        <w:rPr>
          <w:b/>
          <w:sz w:val="32"/>
          <w:u w:val="single"/>
        </w:rPr>
      </w:pPr>
      <w:r>
        <w:rPr>
          <w:b/>
          <w:sz w:val="32"/>
          <w:u w:val="single"/>
        </w:rPr>
        <w:t>Critical Care Learning Experience:</w:t>
      </w:r>
    </w:p>
    <w:p w:rsidR="008730C1" w:rsidRPr="00D137D8" w:rsidRDefault="008730C1" w:rsidP="00D137D8">
      <w:pPr>
        <w:ind w:firstLine="360"/>
        <w:rPr>
          <w:b/>
        </w:rPr>
      </w:pPr>
      <w:r w:rsidRPr="00D137D8">
        <w:rPr>
          <w:b/>
        </w:rPr>
        <w:t xml:space="preserve">Preceptor: </w:t>
      </w:r>
      <w:smartTag w:uri="urn:schemas-microsoft-com:office:smarttags" w:element="PersonName">
        <w:r w:rsidRPr="00D137D8">
          <w:rPr>
            <w:b/>
          </w:rPr>
          <w:t>Lynn Bass</w:t>
        </w:r>
      </w:smartTag>
      <w:r w:rsidRPr="00D137D8">
        <w:rPr>
          <w:b/>
        </w:rPr>
        <w:t xml:space="preserve">, </w:t>
      </w:r>
      <w:proofErr w:type="gramStart"/>
      <w:r w:rsidRPr="00D137D8">
        <w:rPr>
          <w:b/>
        </w:rPr>
        <w:t>Pharm.D.,</w:t>
      </w:r>
      <w:proofErr w:type="gramEnd"/>
      <w:r w:rsidRPr="00D137D8">
        <w:rPr>
          <w:b/>
        </w:rPr>
        <w:t xml:space="preserve"> Critical Care Pharmacist</w:t>
      </w:r>
    </w:p>
    <w:p w:rsidR="008730C1" w:rsidRDefault="008730C1" w:rsidP="00D137D8">
      <w:pPr>
        <w:ind w:firstLine="360"/>
        <w:rPr>
          <w:b/>
        </w:rPr>
      </w:pPr>
      <w:r w:rsidRPr="00D137D8">
        <w:rPr>
          <w:b/>
        </w:rPr>
        <w:t xml:space="preserve">Office: </w:t>
      </w:r>
      <w:r>
        <w:rPr>
          <w:b/>
        </w:rPr>
        <w:t xml:space="preserve">Cape Fear Valley Medical Center, </w:t>
      </w:r>
      <w:r w:rsidR="00EF5B4D">
        <w:rPr>
          <w:b/>
        </w:rPr>
        <w:t>Critical Care</w:t>
      </w:r>
      <w:r>
        <w:rPr>
          <w:b/>
        </w:rPr>
        <w:t xml:space="preserve"> Satellite</w:t>
      </w:r>
    </w:p>
    <w:p w:rsidR="008730C1" w:rsidRPr="00D137D8" w:rsidRDefault="008730C1" w:rsidP="005765E7">
      <w:pPr>
        <w:ind w:firstLine="360"/>
        <w:rPr>
          <w:b/>
        </w:rPr>
      </w:pPr>
      <w:r w:rsidRPr="00D137D8">
        <w:rPr>
          <w:b/>
        </w:rPr>
        <w:t xml:space="preserve">Hours: </w:t>
      </w:r>
      <w:r>
        <w:rPr>
          <w:b/>
        </w:rPr>
        <w:t>7am – 3:30pm</w:t>
      </w:r>
      <w:r w:rsidRPr="00D137D8">
        <w:rPr>
          <w:b/>
        </w:rPr>
        <w:t xml:space="preserve">, Monday </w:t>
      </w:r>
      <w:r>
        <w:rPr>
          <w:b/>
        </w:rPr>
        <w:t>–</w:t>
      </w:r>
      <w:r w:rsidRPr="00D137D8">
        <w:rPr>
          <w:b/>
        </w:rPr>
        <w:t xml:space="preserve"> Friday</w:t>
      </w:r>
    </w:p>
    <w:p w:rsidR="008730C1" w:rsidRDefault="008730C1" w:rsidP="003E13C8"/>
    <w:p w:rsidR="008730C1" w:rsidRDefault="008730C1" w:rsidP="00D137D8">
      <w:pPr>
        <w:numPr>
          <w:ilvl w:val="0"/>
          <w:numId w:val="1"/>
        </w:numPr>
        <w:rPr>
          <w:b/>
          <w:u w:val="single"/>
        </w:rPr>
      </w:pPr>
      <w:r>
        <w:rPr>
          <w:b/>
          <w:u w:val="single"/>
        </w:rPr>
        <w:t>General Description</w:t>
      </w:r>
    </w:p>
    <w:p w:rsidR="008730C1" w:rsidRPr="00A6429D" w:rsidRDefault="008730C1" w:rsidP="002C3232">
      <w:pPr>
        <w:ind w:left="720"/>
        <w:jc w:val="both"/>
        <w:rPr>
          <w:b/>
          <w:u w:val="single"/>
        </w:rPr>
      </w:pPr>
      <w:r>
        <w:t xml:space="preserve">The Critical Care rotation at Cape Fear Valley Health System is an elective, four-week rotation at Cape Fear Valley Health Care System. The ICU is composed of three 10-bed units – Surgical, Medical, and </w:t>
      </w:r>
      <w:r w:rsidR="00E34E18">
        <w:t>Neuroscience</w:t>
      </w:r>
      <w:r>
        <w:t xml:space="preserve"> Intensive Care Units.  </w:t>
      </w:r>
    </w:p>
    <w:p w:rsidR="008730C1" w:rsidRDefault="008730C1" w:rsidP="002C3232">
      <w:pPr>
        <w:pStyle w:val="NormalWeb"/>
        <w:ind w:left="720"/>
        <w:jc w:val="both"/>
      </w:pPr>
      <w:r>
        <w:t>The critical care pharmacist works closely with the critical care team, which consists of intensivists,</w:t>
      </w:r>
      <w:r w:rsidR="00BE5781">
        <w:t xml:space="preserve"> </w:t>
      </w:r>
      <w:r w:rsidR="00B15E9D">
        <w:t xml:space="preserve">nurses, </w:t>
      </w:r>
      <w:r w:rsidR="00EF5B4D">
        <w:t xml:space="preserve">physician assistants </w:t>
      </w:r>
      <w:r>
        <w:t xml:space="preserve">and nurse practitioners. The pharmacist is responsible for ensuring safe and effective medications for all patients admitted to the ICU. The pharmacist works closely with the IV room and the main pharmacy to ensure timely delivery of all medications not stocked in the Pyxis machine. In the event of a non-formulary drug order, the pharmacist completes the non-formulary drug request as per hospital policy. The pharmacist is responsible, on a daily basis, for completing the Pharmacy to Dose, Renal, IV to PO, Patient Own Med, </w:t>
      </w:r>
      <w:r w:rsidR="00B15E9D">
        <w:t xml:space="preserve">Check Patch, </w:t>
      </w:r>
      <w:r>
        <w:t xml:space="preserve">and Sentinel Event reports. The pharmacist reviews labs of all patients currently on the pharmacy to dose roster and makes recommendations to the team regarding antibiotic therapy. The pharmacist reviews labs to determine renal function for </w:t>
      </w:r>
      <w:proofErr w:type="spellStart"/>
      <w:r>
        <w:t>renally</w:t>
      </w:r>
      <w:proofErr w:type="spellEnd"/>
      <w:r>
        <w:t xml:space="preserve"> adjusted medications and reviews serum electrolytes when electrolyte replacement is ordered. The pharmacist collaborates with the Infectious Disease pharmacist regarding the monthly Sepsis meeting in order to assure pharmacy presence during the meeting. In addition, the pharmacist is available for any drug information questions during the course of the day.</w:t>
      </w:r>
    </w:p>
    <w:p w:rsidR="008730C1" w:rsidRDefault="008730C1" w:rsidP="002C3232">
      <w:pPr>
        <w:pStyle w:val="NormalWeb"/>
        <w:ind w:left="720"/>
        <w:jc w:val="both"/>
      </w:pPr>
      <w:r>
        <w:t xml:space="preserve">The pharmacy resident will work closely with the Critical Care Pharmacist and the Critical Care Team. The resident will be involved in pharmaceutical care in the Medical, Surgical, and Neuroscience Intensive Care Units. The resident will be responsible for order entry for the critical care units, and for validating the CPOE orders in the hospital computer system. This will include clarifications of orders and documentation of above clarifications in the hospital computer system. The resident will provide and document therapeutic drug monitoring services for patients in the ICU required monitoring including, but not limited to, heparin, </w:t>
      </w:r>
      <w:proofErr w:type="spellStart"/>
      <w:r>
        <w:t>argatroban</w:t>
      </w:r>
      <w:proofErr w:type="spellEnd"/>
      <w:r>
        <w:t xml:space="preserve">, warfarin, vancomycin, and aminoglycosides. He/she will complete the renal adjustment, patient own medications, check-patch, and sentinel order reports.  The resident will be available for drug </w:t>
      </w:r>
      <w:r>
        <w:lastRenderedPageBreak/>
        <w:t>information questions as well as nursing and pharmacy in-services during the course of the rotation.  The resident must be prepared to actively participate in assigned therapeutic discussions.</w:t>
      </w:r>
    </w:p>
    <w:p w:rsidR="008730C1" w:rsidRDefault="008730C1" w:rsidP="00EF5B4D">
      <w:pPr>
        <w:pStyle w:val="NormalWeb"/>
        <w:ind w:left="720"/>
        <w:jc w:val="both"/>
      </w:pPr>
      <w:r>
        <w:t xml:space="preserve">Good communication skills, both verbal and written, are essential to this rotation. The resident will complete pharmacokinetic progress notes upon initiation of drug therapy and throughout the course of therapy as needed. The resident will also complete “Physician –Pharmacist Communication” forms for non-urgent matters and complete non-formulary drug requests as needed. The resident will be available to be a preceptor for a </w:t>
      </w:r>
      <w:r w:rsidR="00EF5B4D">
        <w:t>4</w:t>
      </w:r>
      <w:r w:rsidR="00EF5B4D" w:rsidRPr="00EF5B4D">
        <w:rPr>
          <w:vertAlign w:val="superscript"/>
        </w:rPr>
        <w:t>th</w:t>
      </w:r>
      <w:r>
        <w:t xml:space="preserve"> year Critical Care student if needed.  </w:t>
      </w:r>
    </w:p>
    <w:p w:rsidR="008730C1" w:rsidRDefault="008730C1" w:rsidP="003E13C8">
      <w:pPr>
        <w:ind w:left="360"/>
        <w:jc w:val="both"/>
        <w:rPr>
          <w:b/>
          <w:u w:val="single"/>
        </w:rPr>
      </w:pPr>
    </w:p>
    <w:p w:rsidR="008730C1" w:rsidRDefault="008730C1" w:rsidP="003E13C8">
      <w:pPr>
        <w:numPr>
          <w:ilvl w:val="0"/>
          <w:numId w:val="1"/>
        </w:numPr>
        <w:rPr>
          <w:b/>
          <w:u w:val="single"/>
        </w:rPr>
      </w:pPr>
      <w:r>
        <w:rPr>
          <w:b/>
          <w:u w:val="single"/>
        </w:rPr>
        <w:t>Disease States</w:t>
      </w:r>
    </w:p>
    <w:p w:rsidR="008730C1" w:rsidRPr="000F5897" w:rsidRDefault="008730C1" w:rsidP="002C3232">
      <w:pPr>
        <w:ind w:left="720"/>
        <w:jc w:val="both"/>
        <w:outlineLvl w:val="0"/>
      </w:pPr>
      <w:r>
        <w:t>Common disease</w:t>
      </w:r>
      <w:r w:rsidRPr="000F5897">
        <w:t xml:space="preserve"> states the resident will be expected to gain proficiency in through literature review, topic discussions, and/or direct patient care experience including but not limited to: </w:t>
      </w:r>
    </w:p>
    <w:p w:rsidR="00BE5781" w:rsidRPr="00A6429D" w:rsidRDefault="00BE5781" w:rsidP="00BE5781">
      <w:pPr>
        <w:pStyle w:val="ListParagraph"/>
        <w:numPr>
          <w:ilvl w:val="0"/>
          <w:numId w:val="11"/>
        </w:numPr>
        <w:rPr>
          <w:rFonts w:ascii="Times New Roman" w:hAnsi="Times New Roman"/>
          <w:sz w:val="24"/>
          <w:szCs w:val="24"/>
        </w:rPr>
      </w:pPr>
      <w:r>
        <w:rPr>
          <w:rFonts w:ascii="Times New Roman" w:hAnsi="Times New Roman"/>
          <w:sz w:val="24"/>
          <w:szCs w:val="24"/>
        </w:rPr>
        <w:t>Sepsis and Septic Shock</w:t>
      </w:r>
    </w:p>
    <w:p w:rsidR="00B15E9D" w:rsidRDefault="00B15E9D" w:rsidP="00A6429D">
      <w:pPr>
        <w:pStyle w:val="ListParagraph"/>
        <w:numPr>
          <w:ilvl w:val="0"/>
          <w:numId w:val="11"/>
        </w:numPr>
        <w:rPr>
          <w:rFonts w:ascii="Times New Roman" w:hAnsi="Times New Roman"/>
          <w:sz w:val="24"/>
          <w:szCs w:val="24"/>
        </w:rPr>
      </w:pPr>
      <w:r>
        <w:rPr>
          <w:rFonts w:ascii="Times New Roman" w:hAnsi="Times New Roman"/>
          <w:sz w:val="24"/>
          <w:szCs w:val="24"/>
        </w:rPr>
        <w:t xml:space="preserve">Pain, Agitation and Delirium in the </w:t>
      </w:r>
      <w:r w:rsidR="008730C1" w:rsidRPr="00821042">
        <w:rPr>
          <w:rFonts w:ascii="Times New Roman" w:hAnsi="Times New Roman"/>
          <w:sz w:val="24"/>
          <w:szCs w:val="24"/>
        </w:rPr>
        <w:t>ICU</w:t>
      </w:r>
    </w:p>
    <w:p w:rsidR="008730C1" w:rsidRPr="00821042" w:rsidRDefault="00B15E9D" w:rsidP="00A6429D">
      <w:pPr>
        <w:pStyle w:val="ListParagraph"/>
        <w:numPr>
          <w:ilvl w:val="0"/>
          <w:numId w:val="11"/>
        </w:numPr>
        <w:rPr>
          <w:rFonts w:ascii="Times New Roman" w:hAnsi="Times New Roman"/>
          <w:sz w:val="24"/>
          <w:szCs w:val="24"/>
        </w:rPr>
      </w:pPr>
      <w:r>
        <w:rPr>
          <w:rFonts w:ascii="Times New Roman" w:hAnsi="Times New Roman"/>
          <w:sz w:val="24"/>
          <w:szCs w:val="24"/>
        </w:rPr>
        <w:t>N</w:t>
      </w:r>
      <w:r w:rsidR="008730C1" w:rsidRPr="00821042">
        <w:rPr>
          <w:rFonts w:ascii="Times New Roman" w:hAnsi="Times New Roman"/>
          <w:sz w:val="24"/>
          <w:szCs w:val="24"/>
        </w:rPr>
        <w:t>euromuscular blockade</w:t>
      </w:r>
    </w:p>
    <w:p w:rsidR="008730C1" w:rsidRPr="00821042" w:rsidRDefault="008730C1" w:rsidP="00A6429D">
      <w:pPr>
        <w:pStyle w:val="ListParagraph"/>
        <w:numPr>
          <w:ilvl w:val="0"/>
          <w:numId w:val="11"/>
        </w:numPr>
        <w:rPr>
          <w:rFonts w:ascii="Times New Roman" w:hAnsi="Times New Roman"/>
          <w:sz w:val="24"/>
          <w:szCs w:val="24"/>
        </w:rPr>
      </w:pPr>
      <w:r w:rsidRPr="00821042">
        <w:rPr>
          <w:rFonts w:ascii="Times New Roman" w:hAnsi="Times New Roman"/>
          <w:sz w:val="24"/>
          <w:szCs w:val="24"/>
        </w:rPr>
        <w:t>Vasopressors and inotropes</w:t>
      </w:r>
    </w:p>
    <w:p w:rsidR="008730C1" w:rsidRPr="00821042" w:rsidRDefault="008730C1" w:rsidP="00A6429D">
      <w:pPr>
        <w:pStyle w:val="ListParagraph"/>
        <w:numPr>
          <w:ilvl w:val="0"/>
          <w:numId w:val="11"/>
        </w:numPr>
        <w:rPr>
          <w:rFonts w:ascii="Times New Roman" w:hAnsi="Times New Roman"/>
          <w:sz w:val="24"/>
          <w:szCs w:val="24"/>
        </w:rPr>
      </w:pPr>
      <w:r w:rsidRPr="00821042">
        <w:rPr>
          <w:rFonts w:ascii="Times New Roman" w:hAnsi="Times New Roman"/>
          <w:sz w:val="24"/>
          <w:szCs w:val="24"/>
        </w:rPr>
        <w:t>Antimicrobial therapy</w:t>
      </w:r>
    </w:p>
    <w:p w:rsidR="008730C1" w:rsidRPr="00821042" w:rsidRDefault="008730C1" w:rsidP="00A6429D">
      <w:pPr>
        <w:pStyle w:val="ListParagraph"/>
        <w:numPr>
          <w:ilvl w:val="0"/>
          <w:numId w:val="11"/>
        </w:numPr>
        <w:rPr>
          <w:rFonts w:ascii="Times New Roman" w:hAnsi="Times New Roman"/>
          <w:sz w:val="24"/>
          <w:szCs w:val="24"/>
        </w:rPr>
      </w:pPr>
      <w:r w:rsidRPr="00821042">
        <w:rPr>
          <w:rFonts w:ascii="Times New Roman" w:hAnsi="Times New Roman"/>
          <w:sz w:val="24"/>
          <w:szCs w:val="24"/>
        </w:rPr>
        <w:t>Stress ulcer prophylaxis</w:t>
      </w:r>
    </w:p>
    <w:p w:rsidR="008730C1" w:rsidRDefault="008730C1" w:rsidP="00A6429D">
      <w:pPr>
        <w:pStyle w:val="ListParagraph"/>
        <w:numPr>
          <w:ilvl w:val="0"/>
          <w:numId w:val="11"/>
        </w:numPr>
        <w:rPr>
          <w:rFonts w:ascii="Times New Roman" w:hAnsi="Times New Roman"/>
          <w:sz w:val="24"/>
          <w:szCs w:val="24"/>
        </w:rPr>
      </w:pPr>
      <w:r w:rsidRPr="00A6429D">
        <w:rPr>
          <w:rFonts w:ascii="Times New Roman" w:hAnsi="Times New Roman"/>
          <w:sz w:val="24"/>
          <w:szCs w:val="24"/>
        </w:rPr>
        <w:t>Deep vein thrombosis</w:t>
      </w:r>
    </w:p>
    <w:p w:rsidR="008730C1" w:rsidRDefault="008730C1" w:rsidP="00A6429D">
      <w:pPr>
        <w:ind w:left="1080" w:firstLine="720"/>
        <w:jc w:val="both"/>
        <w:outlineLvl w:val="0"/>
      </w:pPr>
      <w:r>
        <w:t>i.</w:t>
      </w:r>
      <w:r>
        <w:tab/>
        <w:t>Prevention</w:t>
      </w:r>
    </w:p>
    <w:p w:rsidR="008730C1" w:rsidRPr="00821042" w:rsidRDefault="008730C1" w:rsidP="00A6429D">
      <w:pPr>
        <w:ind w:left="1080" w:firstLine="720"/>
        <w:jc w:val="both"/>
        <w:outlineLvl w:val="0"/>
      </w:pPr>
      <w:r>
        <w:t>ii.   Treatment</w:t>
      </w:r>
    </w:p>
    <w:p w:rsidR="008730C1" w:rsidRPr="00A6429D" w:rsidRDefault="008730C1" w:rsidP="00A6429D">
      <w:pPr>
        <w:pStyle w:val="ListParagraph"/>
        <w:numPr>
          <w:ilvl w:val="0"/>
          <w:numId w:val="11"/>
        </w:numPr>
        <w:rPr>
          <w:rFonts w:ascii="Times New Roman" w:hAnsi="Times New Roman"/>
          <w:sz w:val="24"/>
          <w:szCs w:val="24"/>
        </w:rPr>
      </w:pPr>
      <w:r w:rsidRPr="00A6429D">
        <w:rPr>
          <w:rFonts w:ascii="Times New Roman" w:hAnsi="Times New Roman"/>
          <w:sz w:val="24"/>
          <w:szCs w:val="24"/>
        </w:rPr>
        <w:t>Adult Respiratory Distress Syndrome</w:t>
      </w:r>
    </w:p>
    <w:p w:rsidR="008730C1" w:rsidRPr="00A6429D" w:rsidRDefault="008730C1" w:rsidP="00A6429D">
      <w:pPr>
        <w:ind w:left="720" w:firstLine="360"/>
        <w:jc w:val="both"/>
        <w:outlineLvl w:val="0"/>
      </w:pPr>
      <w:r w:rsidRPr="00A6429D">
        <w:t>h.</w:t>
      </w:r>
      <w:r w:rsidRPr="00A6429D">
        <w:tab/>
        <w:t>Acid/Base Disorders</w:t>
      </w:r>
    </w:p>
    <w:p w:rsidR="008730C1" w:rsidRDefault="008730C1" w:rsidP="00A6429D">
      <w:pPr>
        <w:ind w:left="720" w:firstLine="360"/>
        <w:jc w:val="both"/>
        <w:outlineLvl w:val="0"/>
      </w:pPr>
      <w:r>
        <w:t>i.</w:t>
      </w:r>
      <w:r>
        <w:tab/>
        <w:t xml:space="preserve">Pneumonia </w:t>
      </w:r>
    </w:p>
    <w:p w:rsidR="008730C1" w:rsidRDefault="008730C1" w:rsidP="00A6429D">
      <w:pPr>
        <w:ind w:left="1080" w:firstLine="720"/>
        <w:jc w:val="both"/>
        <w:outlineLvl w:val="0"/>
      </w:pPr>
      <w:r>
        <w:t>i.</w:t>
      </w:r>
      <w:r>
        <w:tab/>
        <w:t>CAP</w:t>
      </w:r>
    </w:p>
    <w:p w:rsidR="008730C1" w:rsidRDefault="008730C1" w:rsidP="00A6429D">
      <w:pPr>
        <w:ind w:left="1080" w:firstLine="720"/>
        <w:jc w:val="both"/>
        <w:outlineLvl w:val="0"/>
      </w:pPr>
      <w:r>
        <w:t>ii.</w:t>
      </w:r>
      <w:r>
        <w:tab/>
        <w:t>HAP</w:t>
      </w:r>
    </w:p>
    <w:p w:rsidR="008730C1" w:rsidRPr="00821042" w:rsidRDefault="008730C1" w:rsidP="00A6429D">
      <w:pPr>
        <w:ind w:left="1080" w:firstLine="720"/>
        <w:jc w:val="both"/>
        <w:outlineLvl w:val="0"/>
      </w:pPr>
      <w:r>
        <w:t>iii.  VAP</w:t>
      </w:r>
    </w:p>
    <w:p w:rsidR="008730C1" w:rsidRDefault="008730C1" w:rsidP="00A6429D">
      <w:pPr>
        <w:ind w:left="1080"/>
        <w:jc w:val="both"/>
        <w:outlineLvl w:val="0"/>
      </w:pPr>
      <w:r>
        <w:t>j.</w:t>
      </w:r>
      <w:r>
        <w:tab/>
        <w:t xml:space="preserve">Dialysis and Renal failure </w:t>
      </w:r>
    </w:p>
    <w:p w:rsidR="008730C1" w:rsidRDefault="008730C1" w:rsidP="00A6429D">
      <w:pPr>
        <w:ind w:left="1080" w:firstLine="720"/>
        <w:jc w:val="both"/>
        <w:outlineLvl w:val="0"/>
      </w:pPr>
      <w:r>
        <w:t>i.  chronic renal failure</w:t>
      </w:r>
    </w:p>
    <w:p w:rsidR="008730C1" w:rsidRDefault="008730C1" w:rsidP="00A6429D">
      <w:pPr>
        <w:ind w:left="1080" w:firstLine="720"/>
        <w:jc w:val="both"/>
        <w:outlineLvl w:val="0"/>
        <w:rPr>
          <w:rFonts w:ascii="Arial" w:hAnsi="Arial"/>
          <w:sz w:val="20"/>
          <w:szCs w:val="20"/>
        </w:rPr>
      </w:pPr>
      <w:r>
        <w:t>ii.  acute renal failure</w:t>
      </w:r>
    </w:p>
    <w:p w:rsidR="008730C1" w:rsidRDefault="008730C1" w:rsidP="00A6429D">
      <w:pPr>
        <w:ind w:left="1080"/>
        <w:jc w:val="both"/>
        <w:outlineLvl w:val="0"/>
      </w:pPr>
      <w:r>
        <w:t>k.</w:t>
      </w:r>
      <w:r>
        <w:tab/>
        <w:t>Fluid and electrolyte disorders</w:t>
      </w:r>
    </w:p>
    <w:p w:rsidR="008730C1" w:rsidRDefault="008730C1" w:rsidP="005067C4">
      <w:pPr>
        <w:ind w:left="1980"/>
      </w:pPr>
    </w:p>
    <w:p w:rsidR="008730C1" w:rsidRPr="00A6429D" w:rsidRDefault="008730C1" w:rsidP="00A6429D">
      <w:pPr>
        <w:pStyle w:val="ListParagraph"/>
        <w:numPr>
          <w:ilvl w:val="0"/>
          <w:numId w:val="1"/>
        </w:numPr>
        <w:jc w:val="left"/>
        <w:rPr>
          <w:rFonts w:ascii="Times New Roman" w:hAnsi="Times New Roman"/>
          <w:sz w:val="24"/>
          <w:szCs w:val="24"/>
        </w:rPr>
      </w:pPr>
      <w:r w:rsidRPr="00A427C4">
        <w:rPr>
          <w:rFonts w:ascii="Times New Roman" w:hAnsi="Times New Roman"/>
          <w:b/>
          <w:sz w:val="24"/>
          <w:szCs w:val="24"/>
          <w:u w:val="single"/>
        </w:rPr>
        <w:t xml:space="preserve">Goals and Objectives  </w:t>
      </w:r>
    </w:p>
    <w:p w:rsidR="008730C1" w:rsidRDefault="008730C1" w:rsidP="002C3232">
      <w:pPr>
        <w:pStyle w:val="ListParagraph"/>
        <w:numPr>
          <w:ilvl w:val="0"/>
          <w:numId w:val="0"/>
        </w:numPr>
        <w:ind w:left="720"/>
        <w:jc w:val="left"/>
        <w:rPr>
          <w:rFonts w:ascii="Times New Roman" w:hAnsi="Times New Roman"/>
          <w:sz w:val="24"/>
          <w:szCs w:val="24"/>
        </w:rPr>
      </w:pPr>
      <w:r w:rsidRPr="00A427C4">
        <w:rPr>
          <w:rFonts w:ascii="Times New Roman" w:hAnsi="Times New Roman"/>
          <w:sz w:val="24"/>
          <w:szCs w:val="24"/>
        </w:rPr>
        <w:t xml:space="preserve"> The goals selected to be taught and evaluated during this learning experience include:</w:t>
      </w:r>
    </w:p>
    <w:p w:rsidR="002823AD" w:rsidRDefault="002823AD" w:rsidP="002C3232">
      <w:pPr>
        <w:pStyle w:val="ListParagraph"/>
        <w:numPr>
          <w:ilvl w:val="0"/>
          <w:numId w:val="0"/>
        </w:numPr>
        <w:ind w:left="720"/>
        <w:jc w:val="left"/>
        <w:rPr>
          <w:rFonts w:ascii="Times New Roman" w:hAnsi="Times New Roman"/>
          <w:sz w:val="24"/>
          <w:szCs w:val="24"/>
        </w:rPr>
      </w:pPr>
    </w:p>
    <w:p w:rsidR="002823AD" w:rsidRPr="00B15E9D" w:rsidRDefault="002823AD" w:rsidP="002823AD">
      <w:pPr>
        <w:pStyle w:val="ListParagraph"/>
        <w:numPr>
          <w:ilvl w:val="0"/>
          <w:numId w:val="0"/>
        </w:numPr>
        <w:ind w:left="720"/>
        <w:rPr>
          <w:rFonts w:ascii="Times New Roman" w:hAnsi="Times New Roman"/>
          <w:sz w:val="24"/>
          <w:szCs w:val="24"/>
        </w:rPr>
      </w:pPr>
      <w:r w:rsidRPr="00B15E9D">
        <w:rPr>
          <w:rFonts w:ascii="Times New Roman" w:hAnsi="Times New Roman"/>
          <w:sz w:val="24"/>
          <w:szCs w:val="24"/>
        </w:rPr>
        <w:t xml:space="preserve">R1.1.1 </w:t>
      </w:r>
      <w:r w:rsidR="00B15E9D">
        <w:rPr>
          <w:rFonts w:ascii="Times New Roman" w:hAnsi="Times New Roman"/>
          <w:sz w:val="24"/>
          <w:szCs w:val="24"/>
        </w:rPr>
        <w:tab/>
        <w:t xml:space="preserve"> </w:t>
      </w:r>
      <w:r w:rsidRPr="00B15E9D">
        <w:rPr>
          <w:rFonts w:ascii="Times New Roman" w:hAnsi="Times New Roman"/>
          <w:sz w:val="24"/>
          <w:szCs w:val="24"/>
        </w:rPr>
        <w:t xml:space="preserve">Interact effectively with health care teams to manage patients’ medication therapy </w:t>
      </w:r>
    </w:p>
    <w:p w:rsidR="002823AD" w:rsidRPr="00B15E9D" w:rsidRDefault="002823AD" w:rsidP="002823AD">
      <w:pPr>
        <w:pStyle w:val="ListParagraph"/>
        <w:numPr>
          <w:ilvl w:val="0"/>
          <w:numId w:val="0"/>
        </w:numPr>
        <w:ind w:left="720"/>
        <w:rPr>
          <w:rFonts w:ascii="Times New Roman" w:hAnsi="Times New Roman"/>
          <w:sz w:val="24"/>
          <w:szCs w:val="24"/>
        </w:rPr>
      </w:pPr>
      <w:r w:rsidRPr="00B15E9D">
        <w:rPr>
          <w:rFonts w:ascii="Times New Roman" w:hAnsi="Times New Roman"/>
          <w:sz w:val="24"/>
          <w:szCs w:val="24"/>
        </w:rPr>
        <w:t>R1.1.3</w:t>
      </w:r>
      <w:r w:rsidR="00B15E9D">
        <w:rPr>
          <w:rFonts w:ascii="Times New Roman" w:hAnsi="Times New Roman"/>
          <w:sz w:val="24"/>
          <w:szCs w:val="24"/>
        </w:rPr>
        <w:tab/>
      </w:r>
      <w:r w:rsidRPr="00B15E9D">
        <w:rPr>
          <w:rFonts w:ascii="Times New Roman" w:hAnsi="Times New Roman"/>
          <w:sz w:val="24"/>
          <w:szCs w:val="24"/>
        </w:rPr>
        <w:t xml:space="preserve"> Collect information on which to base safe and effective medication therapy </w:t>
      </w:r>
    </w:p>
    <w:p w:rsidR="002823AD" w:rsidRPr="00B15E9D" w:rsidRDefault="002823AD" w:rsidP="002823AD">
      <w:pPr>
        <w:pStyle w:val="ListParagraph"/>
        <w:numPr>
          <w:ilvl w:val="0"/>
          <w:numId w:val="0"/>
        </w:numPr>
        <w:ind w:left="720"/>
        <w:rPr>
          <w:rFonts w:ascii="Times New Roman" w:hAnsi="Times New Roman"/>
          <w:sz w:val="24"/>
          <w:szCs w:val="24"/>
        </w:rPr>
      </w:pPr>
      <w:r w:rsidRPr="00B15E9D">
        <w:rPr>
          <w:rFonts w:ascii="Times New Roman" w:hAnsi="Times New Roman"/>
          <w:sz w:val="24"/>
          <w:szCs w:val="24"/>
        </w:rPr>
        <w:t>R1.1.4</w:t>
      </w:r>
      <w:r w:rsidR="00B15E9D">
        <w:rPr>
          <w:rFonts w:ascii="Times New Roman" w:hAnsi="Times New Roman"/>
          <w:sz w:val="24"/>
          <w:szCs w:val="24"/>
        </w:rPr>
        <w:tab/>
      </w:r>
      <w:r w:rsidRPr="00B15E9D">
        <w:rPr>
          <w:rFonts w:ascii="Times New Roman" w:hAnsi="Times New Roman"/>
          <w:sz w:val="24"/>
          <w:szCs w:val="24"/>
        </w:rPr>
        <w:t xml:space="preserve"> Analyze and assess information on which to base safe and effective medication therapy </w:t>
      </w:r>
    </w:p>
    <w:p w:rsidR="002823AD" w:rsidRPr="00B15E9D" w:rsidRDefault="002823AD" w:rsidP="002823AD">
      <w:pPr>
        <w:pStyle w:val="ListParagraph"/>
        <w:numPr>
          <w:ilvl w:val="0"/>
          <w:numId w:val="0"/>
        </w:numPr>
        <w:ind w:left="720"/>
        <w:rPr>
          <w:rFonts w:ascii="Times New Roman" w:hAnsi="Times New Roman"/>
          <w:sz w:val="24"/>
          <w:szCs w:val="24"/>
        </w:rPr>
      </w:pPr>
      <w:r w:rsidRPr="00B15E9D">
        <w:rPr>
          <w:rFonts w:ascii="Times New Roman" w:hAnsi="Times New Roman"/>
          <w:sz w:val="24"/>
          <w:szCs w:val="24"/>
        </w:rPr>
        <w:t>R1.1.5</w:t>
      </w:r>
      <w:r w:rsidR="00B15E9D">
        <w:rPr>
          <w:rFonts w:ascii="Times New Roman" w:hAnsi="Times New Roman"/>
          <w:sz w:val="24"/>
          <w:szCs w:val="24"/>
        </w:rPr>
        <w:t xml:space="preserve"> </w:t>
      </w:r>
      <w:r w:rsidRPr="00B15E9D">
        <w:rPr>
          <w:rFonts w:ascii="Times New Roman" w:hAnsi="Times New Roman"/>
          <w:sz w:val="24"/>
          <w:szCs w:val="24"/>
        </w:rPr>
        <w:t xml:space="preserve"> </w:t>
      </w:r>
      <w:r w:rsidR="00B15E9D">
        <w:rPr>
          <w:rFonts w:ascii="Times New Roman" w:hAnsi="Times New Roman"/>
          <w:sz w:val="24"/>
          <w:szCs w:val="24"/>
        </w:rPr>
        <w:t xml:space="preserve"> </w:t>
      </w:r>
      <w:r w:rsidRPr="00B15E9D">
        <w:rPr>
          <w:rFonts w:ascii="Times New Roman" w:hAnsi="Times New Roman"/>
          <w:sz w:val="24"/>
          <w:szCs w:val="24"/>
        </w:rPr>
        <w:t xml:space="preserve">Design or redesign safe and effective patient-centered therapeutic regimens and monitoring plans (care plans) </w:t>
      </w:r>
    </w:p>
    <w:p w:rsidR="002823AD" w:rsidRPr="00B15E9D" w:rsidRDefault="002823AD" w:rsidP="002823AD">
      <w:pPr>
        <w:pStyle w:val="ListParagraph"/>
        <w:numPr>
          <w:ilvl w:val="0"/>
          <w:numId w:val="0"/>
        </w:numPr>
        <w:ind w:left="720"/>
        <w:rPr>
          <w:rFonts w:ascii="Times New Roman" w:hAnsi="Times New Roman"/>
          <w:sz w:val="24"/>
          <w:szCs w:val="24"/>
        </w:rPr>
      </w:pPr>
      <w:r w:rsidRPr="00B15E9D">
        <w:rPr>
          <w:rFonts w:ascii="Times New Roman" w:hAnsi="Times New Roman"/>
          <w:sz w:val="24"/>
          <w:szCs w:val="24"/>
        </w:rPr>
        <w:t xml:space="preserve">R1.1.6 </w:t>
      </w:r>
      <w:r w:rsidR="00B15E9D">
        <w:rPr>
          <w:rFonts w:ascii="Times New Roman" w:hAnsi="Times New Roman"/>
          <w:sz w:val="24"/>
          <w:szCs w:val="24"/>
        </w:rPr>
        <w:t xml:space="preserve">  </w:t>
      </w:r>
      <w:r w:rsidRPr="00B15E9D">
        <w:rPr>
          <w:rFonts w:ascii="Times New Roman" w:hAnsi="Times New Roman"/>
          <w:sz w:val="24"/>
          <w:szCs w:val="24"/>
        </w:rPr>
        <w:t xml:space="preserve">Ensure implementation of therapeutic regimens and monitoring plans (care plans) by taking appropriate follow-up actions </w:t>
      </w:r>
    </w:p>
    <w:p w:rsidR="008730C1" w:rsidRPr="005765E7" w:rsidRDefault="002823AD" w:rsidP="005765E7">
      <w:pPr>
        <w:pStyle w:val="ListParagraph"/>
        <w:numPr>
          <w:ilvl w:val="0"/>
          <w:numId w:val="0"/>
        </w:numPr>
        <w:ind w:left="720"/>
        <w:rPr>
          <w:rFonts w:ascii="Times New Roman" w:hAnsi="Times New Roman"/>
          <w:sz w:val="24"/>
          <w:szCs w:val="24"/>
        </w:rPr>
      </w:pPr>
      <w:r w:rsidRPr="00B15E9D">
        <w:rPr>
          <w:rFonts w:ascii="Times New Roman" w:hAnsi="Times New Roman"/>
          <w:sz w:val="24"/>
          <w:szCs w:val="24"/>
        </w:rPr>
        <w:t xml:space="preserve">R1.1.7 </w:t>
      </w:r>
      <w:r w:rsidR="00B15E9D">
        <w:rPr>
          <w:rFonts w:ascii="Times New Roman" w:hAnsi="Times New Roman"/>
          <w:sz w:val="24"/>
          <w:szCs w:val="24"/>
        </w:rPr>
        <w:t xml:space="preserve">   </w:t>
      </w:r>
      <w:r w:rsidRPr="00B15E9D">
        <w:rPr>
          <w:rFonts w:ascii="Times New Roman" w:hAnsi="Times New Roman"/>
          <w:sz w:val="24"/>
          <w:szCs w:val="24"/>
        </w:rPr>
        <w:t>Document direct patient care activities appropriately in the medical record or where appropriate</w:t>
      </w:r>
    </w:p>
    <w:p w:rsidR="008730C1" w:rsidRDefault="008730C1" w:rsidP="003E13C8">
      <w:pPr>
        <w:numPr>
          <w:ilvl w:val="0"/>
          <w:numId w:val="1"/>
        </w:numPr>
        <w:rPr>
          <w:b/>
          <w:u w:val="single"/>
        </w:rPr>
      </w:pPr>
      <w:r>
        <w:rPr>
          <w:b/>
          <w:u w:val="single"/>
        </w:rPr>
        <w:t xml:space="preserve">Preceptor Interaction </w:t>
      </w:r>
    </w:p>
    <w:p w:rsidR="008730C1" w:rsidRDefault="008730C1" w:rsidP="002C3232">
      <w:pPr>
        <w:ind w:left="720"/>
      </w:pPr>
      <w:r>
        <w:t xml:space="preserve">Daily:  </w:t>
      </w:r>
      <w:r>
        <w:tab/>
      </w:r>
      <w:r>
        <w:tab/>
        <w:t xml:space="preserve">7:00am  </w:t>
      </w:r>
      <w:r>
        <w:tab/>
      </w:r>
      <w:r>
        <w:tab/>
        <w:t>Meet with preceptor and plan day</w:t>
      </w:r>
    </w:p>
    <w:p w:rsidR="008730C1" w:rsidRPr="000F5897" w:rsidRDefault="008730C1" w:rsidP="007F44AC">
      <w:pPr>
        <w:ind w:firstLine="720"/>
        <w:outlineLvl w:val="0"/>
      </w:pPr>
      <w:r>
        <w:tab/>
      </w:r>
      <w:r>
        <w:tab/>
        <w:t xml:space="preserve">10:30am </w:t>
      </w:r>
      <w:r>
        <w:tab/>
      </w:r>
      <w:r>
        <w:tab/>
      </w:r>
      <w:r w:rsidRPr="000F5897">
        <w:t>Review patients from rounds and recommendations</w:t>
      </w:r>
    </w:p>
    <w:p w:rsidR="008730C1" w:rsidRDefault="008730C1" w:rsidP="003E13C8">
      <w:pPr>
        <w:ind w:left="360"/>
      </w:pPr>
      <w:r>
        <w:tab/>
      </w:r>
      <w:r>
        <w:tab/>
      </w:r>
      <w:r>
        <w:tab/>
        <w:t>2:00pm</w:t>
      </w:r>
      <w:r>
        <w:tab/>
      </w:r>
      <w:r>
        <w:tab/>
      </w:r>
      <w:r w:rsidRPr="000F5897">
        <w:t>Review Pharmacy to Dose</w:t>
      </w:r>
    </w:p>
    <w:p w:rsidR="008730C1" w:rsidRDefault="008730C1" w:rsidP="004C2F47">
      <w:pPr>
        <w:ind w:left="1800" w:firstLine="360"/>
      </w:pPr>
      <w:r>
        <w:t>2:30pm</w:t>
      </w:r>
      <w:r>
        <w:tab/>
      </w:r>
      <w:r>
        <w:tab/>
      </w:r>
      <w:r w:rsidRPr="000F5897">
        <w:t>Topic discussions</w:t>
      </w:r>
    </w:p>
    <w:p w:rsidR="008730C1" w:rsidRDefault="008730C1" w:rsidP="004C2F47">
      <w:r>
        <w:t xml:space="preserve">      </w:t>
      </w:r>
    </w:p>
    <w:p w:rsidR="008730C1" w:rsidRDefault="008730C1" w:rsidP="003E13C8">
      <w:pPr>
        <w:ind w:left="2520" w:hanging="2160"/>
        <w:jc w:val="both"/>
      </w:pPr>
    </w:p>
    <w:p w:rsidR="008730C1" w:rsidRDefault="005765E7" w:rsidP="007F44AC">
      <w:pPr>
        <w:ind w:left="1440" w:hanging="1080"/>
        <w:rPr>
          <w:b/>
          <w:u w:val="single"/>
        </w:rPr>
      </w:pPr>
      <w:r>
        <w:rPr>
          <w:b/>
        </w:rPr>
        <w:t>5</w:t>
      </w:r>
      <w:r w:rsidR="008730C1">
        <w:rPr>
          <w:b/>
        </w:rPr>
        <w:t xml:space="preserve">)  </w:t>
      </w:r>
      <w:r w:rsidR="008730C1" w:rsidRPr="004B6B6E">
        <w:rPr>
          <w:b/>
          <w:u w:val="single"/>
        </w:rPr>
        <w:t>Communication:</w:t>
      </w:r>
    </w:p>
    <w:p w:rsidR="008730C1" w:rsidRDefault="008730C1" w:rsidP="007F44AC">
      <w:pPr>
        <w:ind w:left="1440" w:hanging="720"/>
      </w:pPr>
      <w:r>
        <w:t xml:space="preserve">A.  </w:t>
      </w:r>
      <w:r w:rsidRPr="007F44AC">
        <w:t>Daily scheduled meeting times as listed above or on calendar</w:t>
      </w:r>
    </w:p>
    <w:p w:rsidR="008730C1" w:rsidRDefault="008730C1" w:rsidP="007F44AC">
      <w:pPr>
        <w:ind w:left="1440" w:hanging="720"/>
      </w:pPr>
      <w:r>
        <w:t xml:space="preserve">B.  </w:t>
      </w:r>
      <w:r w:rsidRPr="0047383C">
        <w:t xml:space="preserve">Office phone, email, cell phone or text:  Appropriate for urgent questions pertaining </w:t>
      </w:r>
    </w:p>
    <w:p w:rsidR="008730C1" w:rsidRPr="007F44AC" w:rsidRDefault="008730C1" w:rsidP="007F44AC">
      <w:pPr>
        <w:ind w:left="1440" w:hanging="720"/>
        <w:rPr>
          <w:b/>
          <w:u w:val="single"/>
        </w:rPr>
      </w:pPr>
      <w:r w:rsidRPr="0047383C">
        <w:t>to patient care, personal communication related to rotation.</w:t>
      </w:r>
    </w:p>
    <w:p w:rsidR="008730C1" w:rsidRDefault="008730C1" w:rsidP="003E13C8">
      <w:pPr>
        <w:ind w:left="360"/>
        <w:rPr>
          <w:b/>
          <w:u w:val="single"/>
        </w:rPr>
      </w:pPr>
    </w:p>
    <w:p w:rsidR="008730C1" w:rsidRDefault="008730C1" w:rsidP="00AA1CC1">
      <w:pPr>
        <w:ind w:left="360"/>
        <w:rPr>
          <w:b/>
          <w:u w:val="single"/>
        </w:rPr>
      </w:pPr>
      <w:r w:rsidRPr="003D260D">
        <w:rPr>
          <w:b/>
          <w:u w:val="single"/>
        </w:rPr>
        <w:t>Expected progression of resident responsibility on this learning experience:</w:t>
      </w:r>
    </w:p>
    <w:p w:rsidR="008730C1" w:rsidRPr="00AA1CC1" w:rsidRDefault="008730C1" w:rsidP="00AA1CC1">
      <w:pPr>
        <w:ind w:left="360"/>
        <w:rPr>
          <w:b/>
          <w:i/>
          <w:u w:val="single"/>
        </w:rPr>
      </w:pPr>
      <w:r>
        <w:rPr>
          <w:b/>
          <w:i/>
        </w:rPr>
        <w:tab/>
      </w:r>
      <w:r w:rsidRPr="00AA1CC1">
        <w:rPr>
          <w:b/>
          <w:i/>
        </w:rPr>
        <w:t xml:space="preserve">(Length of time preceptor spends in each of the phases will be customized based upon </w:t>
      </w:r>
      <w:r>
        <w:rPr>
          <w:b/>
          <w:i/>
        </w:rPr>
        <w:tab/>
      </w:r>
      <w:r w:rsidRPr="00AA1CC1">
        <w:rPr>
          <w:b/>
          <w:i/>
        </w:rPr>
        <w:t xml:space="preserve">resident’s abilities and timing of the learning experience during the residency training </w:t>
      </w:r>
      <w:r>
        <w:rPr>
          <w:b/>
          <w:i/>
        </w:rPr>
        <w:tab/>
      </w:r>
      <w:r w:rsidRPr="00AA1CC1">
        <w:rPr>
          <w:b/>
          <w:i/>
        </w:rPr>
        <w:t>year)</w:t>
      </w:r>
    </w:p>
    <w:p w:rsidR="008730C1" w:rsidRDefault="008730C1" w:rsidP="003E13C8">
      <w:pPr>
        <w:ind w:left="360"/>
        <w:rPr>
          <w:u w:val="single"/>
        </w:rPr>
      </w:pPr>
    </w:p>
    <w:p w:rsidR="008730C1" w:rsidRPr="003A18CD" w:rsidRDefault="008730C1" w:rsidP="003A18CD">
      <w:pPr>
        <w:ind w:left="2160" w:hanging="1800"/>
      </w:pPr>
      <w:r w:rsidRPr="003A18CD">
        <w:t>Day 1:</w:t>
      </w:r>
      <w:r w:rsidRPr="003A18CD">
        <w:rPr>
          <w:b/>
        </w:rPr>
        <w:t xml:space="preserve">  </w:t>
      </w:r>
      <w:r>
        <w:rPr>
          <w:b/>
        </w:rPr>
        <w:tab/>
      </w:r>
      <w:r w:rsidRPr="003A18CD">
        <w:t>Preceptor will review rotation calendar, learnin</w:t>
      </w:r>
      <w:r>
        <w:t xml:space="preserve">g activities, expectations, and </w:t>
      </w:r>
      <w:r w:rsidR="00E34E18" w:rsidRPr="003A18CD">
        <w:t>learning assignments</w:t>
      </w:r>
      <w:r w:rsidRPr="003A18CD">
        <w:t xml:space="preserve"> with preceptor. </w:t>
      </w:r>
      <w:r w:rsidR="002823AD">
        <w:t xml:space="preserve"> </w:t>
      </w:r>
    </w:p>
    <w:p w:rsidR="008730C1" w:rsidRPr="003A18CD" w:rsidRDefault="008730C1" w:rsidP="003A18CD">
      <w:pPr>
        <w:ind w:left="2160" w:hanging="1800"/>
      </w:pPr>
      <w:r w:rsidRPr="003A18CD">
        <w:t xml:space="preserve"> </w:t>
      </w:r>
    </w:p>
    <w:p w:rsidR="008730C1" w:rsidRPr="003A18CD" w:rsidRDefault="008730C1" w:rsidP="003A18CD">
      <w:pPr>
        <w:ind w:left="2160" w:hanging="1800"/>
      </w:pPr>
      <w:r w:rsidRPr="003A18CD">
        <w:t xml:space="preserve">Week 1:    </w:t>
      </w:r>
      <w:r>
        <w:tab/>
      </w:r>
      <w:r w:rsidRPr="003A18CD">
        <w:t xml:space="preserve">Resident will work up approximately </w:t>
      </w:r>
      <w:r w:rsidR="00F661F6">
        <w:t>5-10</w:t>
      </w:r>
      <w:r w:rsidRPr="003A18CD">
        <w:t xml:space="preserve"> patients in the ICU and present important and valid information to preceptor daily. Resident will begin rounding with Critical Care Team </w:t>
      </w:r>
      <w:r w:rsidR="002823AD">
        <w:t>daily with preceptor.</w:t>
      </w:r>
      <w:r w:rsidRPr="003A18CD">
        <w:t xml:space="preserve"> Preceptor will discuss patients with the resident and determine if any interventions need to be made at that time, if not already addressed during rounds. Resident will begin working as Critical Care pharmacist on order entry, pharmacy to dose, and required reports.</w:t>
      </w:r>
    </w:p>
    <w:p w:rsidR="008730C1" w:rsidRPr="003A18CD" w:rsidRDefault="008730C1" w:rsidP="003A18CD">
      <w:pPr>
        <w:ind w:left="2160" w:hanging="1800"/>
      </w:pPr>
    </w:p>
    <w:p w:rsidR="008730C1" w:rsidRDefault="008730C1" w:rsidP="003A18CD">
      <w:pPr>
        <w:ind w:left="2160" w:hanging="1800"/>
      </w:pPr>
      <w:r w:rsidRPr="003A18CD">
        <w:t xml:space="preserve">Week 2-3: </w:t>
      </w:r>
      <w:r>
        <w:tab/>
      </w:r>
      <w:r w:rsidRPr="003A18CD">
        <w:t xml:space="preserve">Resident will work up </w:t>
      </w:r>
      <w:r w:rsidR="00F661F6">
        <w:t xml:space="preserve">10 </w:t>
      </w:r>
      <w:r w:rsidRPr="003A18CD">
        <w:t>patients in the ICU and present important and valid information to preceptor a</w:t>
      </w:r>
      <w:r w:rsidR="00B15E9D">
        <w:t xml:space="preserve">s needed. Resident will </w:t>
      </w:r>
      <w:r w:rsidRPr="003A18CD">
        <w:t>round with Critical Care Team and make recommendations to team during rounds and throughout the day as the need occurs.</w:t>
      </w:r>
    </w:p>
    <w:p w:rsidR="008730C1" w:rsidRPr="003A18CD" w:rsidRDefault="008730C1" w:rsidP="003A18CD">
      <w:pPr>
        <w:ind w:left="2160" w:hanging="1800"/>
      </w:pPr>
    </w:p>
    <w:p w:rsidR="008730C1" w:rsidRPr="003A18CD" w:rsidRDefault="008730C1" w:rsidP="003A18CD">
      <w:pPr>
        <w:ind w:left="2160" w:hanging="1800"/>
      </w:pPr>
      <w:r w:rsidRPr="003A18CD">
        <w:t xml:space="preserve">Week 4:    </w:t>
      </w:r>
      <w:r>
        <w:tab/>
      </w:r>
      <w:r w:rsidRPr="003A18CD">
        <w:t xml:space="preserve">Resident will </w:t>
      </w:r>
      <w:r w:rsidR="00B15E9D">
        <w:t xml:space="preserve">continue to work up </w:t>
      </w:r>
      <w:r w:rsidR="00F661F6">
        <w:t>10</w:t>
      </w:r>
      <w:r w:rsidRPr="003A18CD">
        <w:t xml:space="preserve"> patients in the ICU</w:t>
      </w:r>
      <w:r w:rsidR="00B15E9D">
        <w:t>, continue rounding with the Critical Care team</w:t>
      </w:r>
      <w:r w:rsidR="00BE5781">
        <w:t>,</w:t>
      </w:r>
      <w:r w:rsidR="00B15E9D">
        <w:t xml:space="preserve"> </w:t>
      </w:r>
      <w:r w:rsidRPr="003A18CD">
        <w:t xml:space="preserve"> and </w:t>
      </w:r>
      <w:r w:rsidR="00BE5781">
        <w:t xml:space="preserve"> will </w:t>
      </w:r>
      <w:r w:rsidRPr="003A18CD">
        <w:t>discuss patients and recommendations with preceptor. Resident should at this time be working independently as the Critical Care pharmacist.</w:t>
      </w:r>
    </w:p>
    <w:p w:rsidR="008730C1" w:rsidRPr="00046BF5" w:rsidRDefault="008730C1" w:rsidP="00046BF5">
      <w:pPr>
        <w:ind w:left="360"/>
        <w:rPr>
          <w:b/>
          <w:u w:val="single"/>
        </w:rPr>
      </w:pPr>
    </w:p>
    <w:p w:rsidR="008730C1" w:rsidRDefault="008730C1" w:rsidP="005765E7">
      <w:pPr>
        <w:pStyle w:val="ListParagraph"/>
        <w:numPr>
          <w:ilvl w:val="0"/>
          <w:numId w:val="31"/>
        </w:numPr>
        <w:rPr>
          <w:rFonts w:ascii="Times New Roman" w:hAnsi="Times New Roman"/>
          <w:b/>
          <w:sz w:val="24"/>
          <w:u w:val="single"/>
        </w:rPr>
      </w:pPr>
      <w:r>
        <w:rPr>
          <w:rFonts w:ascii="Times New Roman" w:hAnsi="Times New Roman"/>
          <w:b/>
          <w:sz w:val="24"/>
          <w:u w:val="single"/>
        </w:rPr>
        <w:t>Evaluation Strategy</w:t>
      </w:r>
    </w:p>
    <w:p w:rsidR="002823AD" w:rsidRDefault="002823AD" w:rsidP="002823AD">
      <w:pPr>
        <w:pStyle w:val="ListParagraph"/>
        <w:numPr>
          <w:ilvl w:val="0"/>
          <w:numId w:val="0"/>
        </w:numPr>
        <w:ind w:left="720"/>
        <w:rPr>
          <w:rFonts w:ascii="Times New Roman" w:hAnsi="Times New Roman"/>
          <w:b/>
          <w:sz w:val="24"/>
          <w:u w:val="single"/>
        </w:rPr>
      </w:pPr>
    </w:p>
    <w:p w:rsidR="004D6C35" w:rsidRDefault="00526810" w:rsidP="004D6C35">
      <w:pPr>
        <w:ind w:left="360"/>
      </w:pPr>
      <w:proofErr w:type="spellStart"/>
      <w:r>
        <w:rPr>
          <w:sz w:val="23"/>
          <w:szCs w:val="23"/>
        </w:rPr>
        <w:t>PharmAcademic</w:t>
      </w:r>
      <w:proofErr w:type="spellEnd"/>
      <w:r>
        <w:rPr>
          <w:sz w:val="23"/>
          <w:szCs w:val="23"/>
        </w:rPr>
        <w:t xml:space="preserve">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4D6C35" w:rsidRDefault="004D6C35" w:rsidP="00526810">
      <w:bookmarkStart w:id="0" w:name="_GoBack"/>
      <w:bookmarkEnd w:id="0"/>
    </w:p>
    <w:tbl>
      <w:tblPr>
        <w:tblStyle w:val="TableGrid"/>
        <w:tblW w:w="0" w:type="auto"/>
        <w:tblLook w:val="04A0" w:firstRow="1" w:lastRow="0" w:firstColumn="1" w:lastColumn="0" w:noHBand="0" w:noVBand="1"/>
      </w:tblPr>
      <w:tblGrid>
        <w:gridCol w:w="3192"/>
        <w:gridCol w:w="2226"/>
        <w:gridCol w:w="4158"/>
      </w:tblGrid>
      <w:tr w:rsidR="004D6C35" w:rsidRPr="00A35BCB" w:rsidTr="00BD52DC">
        <w:tc>
          <w:tcPr>
            <w:tcW w:w="3192" w:type="dxa"/>
          </w:tcPr>
          <w:p w:rsidR="004D6C35" w:rsidRPr="00A35BCB" w:rsidRDefault="004D6C35" w:rsidP="00BD52DC">
            <w:pPr>
              <w:jc w:val="center"/>
              <w:rPr>
                <w:b/>
              </w:rPr>
            </w:pPr>
            <w:r w:rsidRPr="00A35BCB">
              <w:rPr>
                <w:b/>
              </w:rPr>
              <w:t>Type of Evaluation</w:t>
            </w:r>
          </w:p>
        </w:tc>
        <w:tc>
          <w:tcPr>
            <w:tcW w:w="2226" w:type="dxa"/>
          </w:tcPr>
          <w:p w:rsidR="004D6C35" w:rsidRPr="00A35BCB" w:rsidRDefault="004D6C35" w:rsidP="00BD52DC">
            <w:pPr>
              <w:jc w:val="center"/>
              <w:rPr>
                <w:b/>
              </w:rPr>
            </w:pPr>
            <w:r w:rsidRPr="00A35BCB">
              <w:rPr>
                <w:b/>
              </w:rPr>
              <w:t>Who Completes the Evaluation</w:t>
            </w:r>
          </w:p>
        </w:tc>
        <w:tc>
          <w:tcPr>
            <w:tcW w:w="4158" w:type="dxa"/>
          </w:tcPr>
          <w:p w:rsidR="004D6C35" w:rsidRPr="00A35BCB" w:rsidRDefault="004D6C35" w:rsidP="00BD52DC">
            <w:pPr>
              <w:jc w:val="center"/>
              <w:rPr>
                <w:b/>
              </w:rPr>
            </w:pPr>
            <w:r w:rsidRPr="00A35BCB">
              <w:rPr>
                <w:b/>
              </w:rPr>
              <w:t>When is the Evaluation Completed</w:t>
            </w:r>
          </w:p>
        </w:tc>
      </w:tr>
      <w:tr w:rsidR="004D6C35" w:rsidTr="00BD52DC">
        <w:tc>
          <w:tcPr>
            <w:tcW w:w="3192" w:type="dxa"/>
          </w:tcPr>
          <w:p w:rsidR="004D6C35" w:rsidRDefault="004D6C35" w:rsidP="00BD52DC">
            <w:r>
              <w:t>Written and Verbal Formative Feedback</w:t>
            </w:r>
          </w:p>
        </w:tc>
        <w:tc>
          <w:tcPr>
            <w:tcW w:w="2226" w:type="dxa"/>
          </w:tcPr>
          <w:p w:rsidR="004D6C35" w:rsidRDefault="004D6C35" w:rsidP="00BD52DC">
            <w:r>
              <w:t>Preceptor</w:t>
            </w:r>
          </w:p>
        </w:tc>
        <w:tc>
          <w:tcPr>
            <w:tcW w:w="4158" w:type="dxa"/>
          </w:tcPr>
          <w:p w:rsidR="004D6C35" w:rsidRDefault="004D6C35" w:rsidP="00BD52DC">
            <w:r>
              <w:t>Throughout rotation based on activities; resident to place written feedback into electronic portfolio</w:t>
            </w:r>
          </w:p>
        </w:tc>
      </w:tr>
      <w:tr w:rsidR="004D6C35" w:rsidTr="00BD52DC">
        <w:tc>
          <w:tcPr>
            <w:tcW w:w="3192" w:type="dxa"/>
          </w:tcPr>
          <w:p w:rsidR="004D6C35" w:rsidRDefault="004D6C35" w:rsidP="00BD52DC">
            <w:r>
              <w:t>ASHP Preceptor Evaluation</w:t>
            </w:r>
          </w:p>
        </w:tc>
        <w:tc>
          <w:tcPr>
            <w:tcW w:w="2226" w:type="dxa"/>
          </w:tcPr>
          <w:p w:rsidR="004D6C35" w:rsidRDefault="004D6C35" w:rsidP="00BD52DC">
            <w:r>
              <w:t>Resident</w:t>
            </w:r>
          </w:p>
        </w:tc>
        <w:tc>
          <w:tcPr>
            <w:tcW w:w="4158" w:type="dxa"/>
          </w:tcPr>
          <w:p w:rsidR="004D6C35" w:rsidRDefault="004D6C35" w:rsidP="00BD52DC">
            <w:r>
              <w:t>End of learning experience</w:t>
            </w:r>
          </w:p>
        </w:tc>
      </w:tr>
      <w:tr w:rsidR="004D6C35" w:rsidTr="00BD52DC">
        <w:tc>
          <w:tcPr>
            <w:tcW w:w="3192" w:type="dxa"/>
          </w:tcPr>
          <w:p w:rsidR="004D6C35" w:rsidRDefault="004D6C35" w:rsidP="00BD52DC">
            <w:r>
              <w:t>ASHP Learning Experience Evaluation</w:t>
            </w:r>
          </w:p>
        </w:tc>
        <w:tc>
          <w:tcPr>
            <w:tcW w:w="2226" w:type="dxa"/>
          </w:tcPr>
          <w:p w:rsidR="004D6C35" w:rsidRDefault="004D6C35" w:rsidP="00BD52DC">
            <w:r>
              <w:t>Resident</w:t>
            </w:r>
          </w:p>
        </w:tc>
        <w:tc>
          <w:tcPr>
            <w:tcW w:w="4158" w:type="dxa"/>
          </w:tcPr>
          <w:p w:rsidR="004D6C35" w:rsidRDefault="004D6C35" w:rsidP="00BD52DC">
            <w:r>
              <w:t>End of learning experience</w:t>
            </w:r>
          </w:p>
        </w:tc>
      </w:tr>
      <w:tr w:rsidR="004D6C35" w:rsidTr="00BD52DC">
        <w:tc>
          <w:tcPr>
            <w:tcW w:w="3192" w:type="dxa"/>
          </w:tcPr>
          <w:p w:rsidR="004D6C35" w:rsidRDefault="004D6C35" w:rsidP="00BD52DC">
            <w:r>
              <w:t>Summative Self-evaluation</w:t>
            </w:r>
          </w:p>
        </w:tc>
        <w:tc>
          <w:tcPr>
            <w:tcW w:w="2226" w:type="dxa"/>
          </w:tcPr>
          <w:p w:rsidR="004D6C35" w:rsidRDefault="004D6C35" w:rsidP="00BD52DC">
            <w:r>
              <w:t>Resident</w:t>
            </w:r>
          </w:p>
        </w:tc>
        <w:tc>
          <w:tcPr>
            <w:tcW w:w="4158" w:type="dxa"/>
          </w:tcPr>
          <w:p w:rsidR="004D6C35" w:rsidRDefault="004D6C35" w:rsidP="00BD52DC">
            <w:r>
              <w:t>End of learning experience</w:t>
            </w:r>
          </w:p>
        </w:tc>
      </w:tr>
      <w:tr w:rsidR="004D6C35" w:rsidTr="00BD52DC">
        <w:tc>
          <w:tcPr>
            <w:tcW w:w="3192" w:type="dxa"/>
          </w:tcPr>
          <w:p w:rsidR="004D6C35" w:rsidRDefault="004D6C35" w:rsidP="00BD52DC">
            <w:r>
              <w:t>Summative Evaluation</w:t>
            </w:r>
          </w:p>
        </w:tc>
        <w:tc>
          <w:tcPr>
            <w:tcW w:w="2226" w:type="dxa"/>
          </w:tcPr>
          <w:p w:rsidR="004D6C35" w:rsidRDefault="004D6C35" w:rsidP="00BD52DC">
            <w:r>
              <w:t>Preceptor</w:t>
            </w:r>
          </w:p>
        </w:tc>
        <w:tc>
          <w:tcPr>
            <w:tcW w:w="4158" w:type="dxa"/>
          </w:tcPr>
          <w:p w:rsidR="004D6C35" w:rsidRDefault="004D6C35" w:rsidP="00BD52DC">
            <w:r>
              <w:t>End of learning experience</w:t>
            </w:r>
          </w:p>
        </w:tc>
      </w:tr>
    </w:tbl>
    <w:p w:rsidR="004D6C35" w:rsidRDefault="004D6C35" w:rsidP="004D6C35">
      <w:pPr>
        <w:pStyle w:val="ListParagraph"/>
        <w:numPr>
          <w:ilvl w:val="0"/>
          <w:numId w:val="0"/>
        </w:numPr>
        <w:ind w:left="720"/>
        <w:rPr>
          <w:b/>
          <w:bCs/>
          <w:u w:val="single"/>
        </w:rPr>
      </w:pPr>
    </w:p>
    <w:p w:rsidR="008730C1" w:rsidRPr="00EF5B4D" w:rsidRDefault="008730C1" w:rsidP="005765E7">
      <w:pPr>
        <w:pStyle w:val="ListParagraph"/>
        <w:numPr>
          <w:ilvl w:val="0"/>
          <w:numId w:val="31"/>
        </w:numPr>
        <w:rPr>
          <w:b/>
          <w:bCs/>
          <w:u w:val="single"/>
        </w:rPr>
      </w:pPr>
      <w:r w:rsidRPr="00EF5B4D">
        <w:rPr>
          <w:b/>
          <w:bCs/>
          <w:u w:val="single"/>
        </w:rPr>
        <w:t>Mandatory Reading List</w:t>
      </w:r>
    </w:p>
    <w:p w:rsidR="00EF5B4D" w:rsidRPr="003A18CD" w:rsidRDefault="00EF5B4D" w:rsidP="00EF5B4D">
      <w:pPr>
        <w:pStyle w:val="ListParagraph"/>
        <w:numPr>
          <w:ilvl w:val="0"/>
          <w:numId w:val="0"/>
        </w:numPr>
        <w:ind w:left="720"/>
      </w:pPr>
    </w:p>
    <w:p w:rsidR="00EF5B4D" w:rsidRDefault="00EF5B4D" w:rsidP="00EF5B4D">
      <w:pPr>
        <w:pStyle w:val="Default"/>
        <w:numPr>
          <w:ilvl w:val="0"/>
          <w:numId w:val="14"/>
        </w:numPr>
        <w:rPr>
          <w:sz w:val="22"/>
          <w:szCs w:val="22"/>
        </w:rPr>
      </w:pPr>
      <w:r>
        <w:rPr>
          <w:sz w:val="22"/>
          <w:szCs w:val="22"/>
        </w:rPr>
        <w:t xml:space="preserve">Critical Care Medicine. 41(1):263-306, January 2013 Clinical Practice Guidelines for the Management of Pain, Agitation, and Delirium in Adult Patients in the Intensive Care Unit   Barr, Juliana; Fraser, Gilles L.; Puntillo, Kathleen; More </w:t>
      </w:r>
    </w:p>
    <w:p w:rsidR="00EF5B4D" w:rsidRDefault="00EF5B4D" w:rsidP="00EF5B4D">
      <w:pPr>
        <w:pStyle w:val="Default"/>
        <w:ind w:left="720"/>
        <w:rPr>
          <w:sz w:val="22"/>
          <w:szCs w:val="22"/>
        </w:rPr>
      </w:pPr>
    </w:p>
    <w:p w:rsidR="00EF5B4D" w:rsidRDefault="00EF5B4D" w:rsidP="00EF5B4D">
      <w:pPr>
        <w:pStyle w:val="Default"/>
        <w:numPr>
          <w:ilvl w:val="0"/>
          <w:numId w:val="14"/>
        </w:numPr>
        <w:rPr>
          <w:sz w:val="22"/>
          <w:szCs w:val="22"/>
        </w:rPr>
      </w:pPr>
      <w:r>
        <w:rPr>
          <w:sz w:val="22"/>
          <w:szCs w:val="22"/>
        </w:rPr>
        <w:t xml:space="preserve">Critical Care Medicine. 44(11):2079-2103, November 2016 Clinical practice guidelines for sustained neuromuscular blockade in the adult critically ill patient   Murray, Michael J;  </w:t>
      </w:r>
      <w:proofErr w:type="spellStart"/>
      <w:r>
        <w:rPr>
          <w:sz w:val="22"/>
          <w:szCs w:val="22"/>
        </w:rPr>
        <w:t>DeBlock</w:t>
      </w:r>
      <w:proofErr w:type="spellEnd"/>
      <w:r>
        <w:rPr>
          <w:sz w:val="22"/>
          <w:szCs w:val="22"/>
        </w:rPr>
        <w:t xml:space="preserve">, Heidi; </w:t>
      </w:r>
      <w:proofErr w:type="spellStart"/>
      <w:r>
        <w:rPr>
          <w:sz w:val="22"/>
          <w:szCs w:val="22"/>
        </w:rPr>
        <w:t>Erstad</w:t>
      </w:r>
      <w:proofErr w:type="spellEnd"/>
      <w:r>
        <w:rPr>
          <w:sz w:val="22"/>
          <w:szCs w:val="22"/>
        </w:rPr>
        <w:t xml:space="preserve">, Brian;  More </w:t>
      </w:r>
    </w:p>
    <w:p w:rsidR="00EF5B4D" w:rsidRPr="00EF5B4D" w:rsidRDefault="00EF5B4D" w:rsidP="00D452EA">
      <w:pPr>
        <w:pStyle w:val="ListParagraph"/>
        <w:numPr>
          <w:ilvl w:val="0"/>
          <w:numId w:val="0"/>
        </w:numPr>
        <w:ind w:left="2160"/>
        <w:rPr>
          <w:sz w:val="22"/>
          <w:szCs w:val="22"/>
        </w:rPr>
      </w:pPr>
    </w:p>
    <w:p w:rsidR="00EF5B4D" w:rsidRDefault="00EF5B4D" w:rsidP="00EF5B4D">
      <w:pPr>
        <w:pStyle w:val="Default"/>
        <w:numPr>
          <w:ilvl w:val="0"/>
          <w:numId w:val="14"/>
        </w:numPr>
        <w:rPr>
          <w:sz w:val="22"/>
          <w:szCs w:val="22"/>
        </w:rPr>
      </w:pPr>
      <w:r>
        <w:rPr>
          <w:sz w:val="22"/>
          <w:szCs w:val="22"/>
        </w:rPr>
        <w:t xml:space="preserve">Critical Care Medicine. 45(3):486-552, March 2017 Surviving Sepsis Campaign: International Guidelines for Management of Sepsis and Septic Shock: 2016   Rhodes, Andrew; Evans, Laura; </w:t>
      </w:r>
      <w:proofErr w:type="spellStart"/>
      <w:r>
        <w:rPr>
          <w:sz w:val="22"/>
          <w:szCs w:val="22"/>
        </w:rPr>
        <w:t>Alhazzani</w:t>
      </w:r>
      <w:proofErr w:type="spellEnd"/>
      <w:r>
        <w:rPr>
          <w:sz w:val="22"/>
          <w:szCs w:val="22"/>
        </w:rPr>
        <w:t xml:space="preserve">, Waleed; Levy, Mitchell M.;  More </w:t>
      </w:r>
    </w:p>
    <w:p w:rsidR="00EF5B4D" w:rsidRDefault="00EF5B4D" w:rsidP="00EF5B4D">
      <w:pPr>
        <w:pStyle w:val="Default"/>
        <w:ind w:left="720"/>
        <w:rPr>
          <w:sz w:val="22"/>
          <w:szCs w:val="22"/>
        </w:rPr>
      </w:pPr>
    </w:p>
    <w:p w:rsidR="00EF5B4D" w:rsidRPr="00366707" w:rsidRDefault="00EF5B4D" w:rsidP="00EF5B4D">
      <w:pPr>
        <w:numPr>
          <w:ilvl w:val="0"/>
          <w:numId w:val="14"/>
        </w:numPr>
        <w:jc w:val="both"/>
        <w:outlineLvl w:val="0"/>
        <w:rPr>
          <w:rFonts w:ascii="Arial" w:hAnsi="Arial" w:cs="Arial"/>
        </w:rPr>
      </w:pPr>
      <w:proofErr w:type="spellStart"/>
      <w:r w:rsidRPr="00366707">
        <w:rPr>
          <w:rFonts w:ascii="Arial" w:hAnsi="Arial" w:cs="Arial"/>
          <w:sz w:val="22"/>
          <w:szCs w:val="22"/>
        </w:rPr>
        <w:t>Clincal</w:t>
      </w:r>
      <w:proofErr w:type="spellEnd"/>
      <w:r w:rsidRPr="00366707">
        <w:rPr>
          <w:rFonts w:ascii="Arial" w:hAnsi="Arial" w:cs="Arial"/>
          <w:sz w:val="22"/>
          <w:szCs w:val="22"/>
        </w:rPr>
        <w:t xml:space="preserve"> Infectious Diseases. July 14, 2016   Guidelines for the Management of Adults with Hospital-acquired and Ventilator –associated Pneumonia: 2016 Clinical Practice Guidelines by the Infectious Diseases Society of America and the American Thoracic Society</w:t>
      </w:r>
    </w:p>
    <w:p w:rsidR="00EF5B4D" w:rsidRDefault="00EF5B4D" w:rsidP="00EF5B4D">
      <w:pPr>
        <w:pStyle w:val="Default"/>
        <w:ind w:left="720"/>
        <w:rPr>
          <w:sz w:val="22"/>
          <w:szCs w:val="22"/>
        </w:rPr>
      </w:pPr>
    </w:p>
    <w:p w:rsidR="00EF5B4D" w:rsidRDefault="00EF5B4D" w:rsidP="00EF5B4D">
      <w:pPr>
        <w:pStyle w:val="Default"/>
        <w:rPr>
          <w:sz w:val="22"/>
          <w:szCs w:val="22"/>
        </w:rPr>
      </w:pPr>
    </w:p>
    <w:p w:rsidR="00EF5B4D" w:rsidRDefault="00EF5B4D" w:rsidP="00EF5B4D">
      <w:pPr>
        <w:pStyle w:val="Default"/>
        <w:rPr>
          <w:sz w:val="22"/>
          <w:szCs w:val="22"/>
        </w:rPr>
      </w:pPr>
    </w:p>
    <w:p w:rsidR="008730C1" w:rsidRPr="003A18CD" w:rsidRDefault="00EF5B4D" w:rsidP="003A18CD">
      <w:pPr>
        <w:ind w:left="360"/>
        <w:jc w:val="both"/>
      </w:pPr>
      <w:r>
        <w:t xml:space="preserve"> </w:t>
      </w:r>
    </w:p>
    <w:p w:rsidR="008730C1" w:rsidRDefault="008730C1" w:rsidP="00073E0C">
      <w:pPr>
        <w:ind w:left="360"/>
        <w:jc w:val="both"/>
      </w:pPr>
    </w:p>
    <w:p w:rsidR="008730C1" w:rsidRDefault="008730C1">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b/>
        </w:rPr>
      </w:pPr>
    </w:p>
    <w:sectPr w:rsidR="008730C1"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8DD"/>
    <w:multiLevelType w:val="hybridMultilevel"/>
    <w:tmpl w:val="31A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46E1"/>
    <w:multiLevelType w:val="hybridMultilevel"/>
    <w:tmpl w:val="B24A366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94447"/>
    <w:multiLevelType w:val="hybridMultilevel"/>
    <w:tmpl w:val="19F42A52"/>
    <w:lvl w:ilvl="0" w:tplc="2D104BE2">
      <w:start w:val="1"/>
      <w:numFmt w:val="lowerLetter"/>
      <w:lvlText w:val="%1."/>
      <w:lvlJc w:val="left"/>
      <w:pPr>
        <w:ind w:left="1440" w:hanging="360"/>
      </w:pPr>
      <w:rPr>
        <w:rFonts w:ascii="Times New Roman" w:hAnsi="Times New Roman" w:cs="Times New Roman" w:hint="default"/>
        <w:sz w:val="24"/>
      </w:rPr>
    </w:lvl>
    <w:lvl w:ilvl="1" w:tplc="0409001B">
      <w:start w:val="1"/>
      <w:numFmt w:val="lowerRoman"/>
      <w:lvlText w:val="%2."/>
      <w:lvlJc w:val="right"/>
      <w:pPr>
        <w:ind w:left="2160" w:hanging="360"/>
      </w:pPr>
      <w:rPr>
        <w:rFonts w:cs="Times New Roman" w:hint="default"/>
        <w:sz w:val="24"/>
        <w:szCs w:val="24"/>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E920596"/>
    <w:multiLevelType w:val="hybridMultilevel"/>
    <w:tmpl w:val="664E5E1C"/>
    <w:lvl w:ilvl="0" w:tplc="277AD9B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F97690"/>
    <w:multiLevelType w:val="hybridMultilevel"/>
    <w:tmpl w:val="7B76CC5A"/>
    <w:lvl w:ilvl="0" w:tplc="339A0522">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6EB4AA1"/>
    <w:multiLevelType w:val="hybridMultilevel"/>
    <w:tmpl w:val="C5B43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A119D8"/>
    <w:multiLevelType w:val="hybridMultilevel"/>
    <w:tmpl w:val="0D04CD2E"/>
    <w:lvl w:ilvl="0" w:tplc="07E431A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962C8B"/>
    <w:multiLevelType w:val="hybridMultilevel"/>
    <w:tmpl w:val="34A611B4"/>
    <w:lvl w:ilvl="0" w:tplc="B5F8917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4A4A01"/>
    <w:multiLevelType w:val="hybridMultilevel"/>
    <w:tmpl w:val="A3E2AE8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831B85"/>
    <w:multiLevelType w:val="hybridMultilevel"/>
    <w:tmpl w:val="EE200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A1088"/>
    <w:multiLevelType w:val="hybridMultilevel"/>
    <w:tmpl w:val="066485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997D00"/>
    <w:multiLevelType w:val="hybridMultilevel"/>
    <w:tmpl w:val="89D649D0"/>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00958"/>
    <w:multiLevelType w:val="hybridMultilevel"/>
    <w:tmpl w:val="C8EC7B7A"/>
    <w:lvl w:ilvl="0" w:tplc="8D78CB4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F0BB5"/>
    <w:multiLevelType w:val="hybridMultilevel"/>
    <w:tmpl w:val="05E2F0CC"/>
    <w:lvl w:ilvl="0" w:tplc="8D78CB4C">
      <w:start w:val="1"/>
      <w:numFmt w:val="bullet"/>
      <w:lvlText w:val=""/>
      <w:lvlJc w:val="left"/>
      <w:pPr>
        <w:tabs>
          <w:tab w:val="num" w:pos="720"/>
        </w:tabs>
        <w:ind w:left="720" w:hanging="360"/>
      </w:pPr>
      <w:rPr>
        <w:rFonts w:ascii="Symbol" w:hAnsi="Symbol" w:hint="default"/>
        <w:sz w:val="20"/>
      </w:rPr>
    </w:lvl>
    <w:lvl w:ilvl="1" w:tplc="E070D20C">
      <w:start w:val="1"/>
      <w:numFmt w:val="bullet"/>
      <w:lvlText w:val=""/>
      <w:lvlJc w:val="left"/>
      <w:pPr>
        <w:tabs>
          <w:tab w:val="num" w:pos="1440"/>
        </w:tabs>
        <w:ind w:left="1440" w:hanging="360"/>
      </w:pPr>
      <w:rPr>
        <w:rFonts w:ascii="Symbol" w:hAnsi="Symbol" w:hint="default"/>
        <w:sz w:val="20"/>
      </w:rPr>
    </w:lvl>
    <w:lvl w:ilvl="2" w:tplc="B072A566" w:tentative="1">
      <w:start w:val="1"/>
      <w:numFmt w:val="bullet"/>
      <w:lvlText w:val=""/>
      <w:lvlJc w:val="left"/>
      <w:pPr>
        <w:tabs>
          <w:tab w:val="num" w:pos="2160"/>
        </w:tabs>
        <w:ind w:left="2160" w:hanging="360"/>
      </w:pPr>
      <w:rPr>
        <w:rFonts w:ascii="Symbol" w:hAnsi="Symbol" w:hint="default"/>
        <w:sz w:val="20"/>
      </w:rPr>
    </w:lvl>
    <w:lvl w:ilvl="3" w:tplc="DED67A80" w:tentative="1">
      <w:start w:val="1"/>
      <w:numFmt w:val="bullet"/>
      <w:lvlText w:val=""/>
      <w:lvlJc w:val="left"/>
      <w:pPr>
        <w:tabs>
          <w:tab w:val="num" w:pos="2880"/>
        </w:tabs>
        <w:ind w:left="2880" w:hanging="360"/>
      </w:pPr>
      <w:rPr>
        <w:rFonts w:ascii="Symbol" w:hAnsi="Symbol" w:hint="default"/>
        <w:sz w:val="20"/>
      </w:rPr>
    </w:lvl>
    <w:lvl w:ilvl="4" w:tplc="DEB8F664" w:tentative="1">
      <w:start w:val="1"/>
      <w:numFmt w:val="bullet"/>
      <w:lvlText w:val=""/>
      <w:lvlJc w:val="left"/>
      <w:pPr>
        <w:tabs>
          <w:tab w:val="num" w:pos="3600"/>
        </w:tabs>
        <w:ind w:left="3600" w:hanging="360"/>
      </w:pPr>
      <w:rPr>
        <w:rFonts w:ascii="Symbol" w:hAnsi="Symbol" w:hint="default"/>
        <w:sz w:val="20"/>
      </w:rPr>
    </w:lvl>
    <w:lvl w:ilvl="5" w:tplc="09A20962" w:tentative="1">
      <w:start w:val="1"/>
      <w:numFmt w:val="bullet"/>
      <w:lvlText w:val=""/>
      <w:lvlJc w:val="left"/>
      <w:pPr>
        <w:tabs>
          <w:tab w:val="num" w:pos="4320"/>
        </w:tabs>
        <w:ind w:left="4320" w:hanging="360"/>
      </w:pPr>
      <w:rPr>
        <w:rFonts w:ascii="Symbol" w:hAnsi="Symbol" w:hint="default"/>
        <w:sz w:val="20"/>
      </w:rPr>
    </w:lvl>
    <w:lvl w:ilvl="6" w:tplc="4A88CF8C" w:tentative="1">
      <w:start w:val="1"/>
      <w:numFmt w:val="bullet"/>
      <w:lvlText w:val=""/>
      <w:lvlJc w:val="left"/>
      <w:pPr>
        <w:tabs>
          <w:tab w:val="num" w:pos="5040"/>
        </w:tabs>
        <w:ind w:left="5040" w:hanging="360"/>
      </w:pPr>
      <w:rPr>
        <w:rFonts w:ascii="Symbol" w:hAnsi="Symbol" w:hint="default"/>
        <w:sz w:val="20"/>
      </w:rPr>
    </w:lvl>
    <w:lvl w:ilvl="7" w:tplc="DE80682E" w:tentative="1">
      <w:start w:val="1"/>
      <w:numFmt w:val="bullet"/>
      <w:lvlText w:val=""/>
      <w:lvlJc w:val="left"/>
      <w:pPr>
        <w:tabs>
          <w:tab w:val="num" w:pos="5760"/>
        </w:tabs>
        <w:ind w:left="5760" w:hanging="360"/>
      </w:pPr>
      <w:rPr>
        <w:rFonts w:ascii="Symbol" w:hAnsi="Symbol" w:hint="default"/>
        <w:sz w:val="20"/>
      </w:rPr>
    </w:lvl>
    <w:lvl w:ilvl="8" w:tplc="1462786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FE6E1B"/>
    <w:multiLevelType w:val="hybridMultilevel"/>
    <w:tmpl w:val="C85E305C"/>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0" w15:restartNumberingAfterBreak="0">
    <w:nsid w:val="6EC600D3"/>
    <w:multiLevelType w:val="hybridMultilevel"/>
    <w:tmpl w:val="B9EE7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B27ABE"/>
    <w:multiLevelType w:val="hybridMultilevel"/>
    <w:tmpl w:val="994439B0"/>
    <w:lvl w:ilvl="0" w:tplc="2D104BE2">
      <w:start w:val="1"/>
      <w:numFmt w:val="lowerLetter"/>
      <w:lvlText w:val="%1."/>
      <w:lvlJc w:val="left"/>
      <w:pPr>
        <w:ind w:left="1440" w:hanging="360"/>
      </w:pPr>
      <w:rPr>
        <w:rFonts w:ascii="Times New Roman" w:hAnsi="Times New Roman" w:cs="Times New Roman" w:hint="default"/>
        <w:sz w:val="24"/>
      </w:rPr>
    </w:lvl>
    <w:lvl w:ilvl="1" w:tplc="13F0565C">
      <w:start w:val="1"/>
      <w:numFmt w:val="lowerLetter"/>
      <w:pStyle w:val="ListParagraph"/>
      <w:lvlText w:val="%2."/>
      <w:lvlJc w:val="left"/>
      <w:pPr>
        <w:ind w:left="2160" w:hanging="360"/>
      </w:pPr>
      <w:rPr>
        <w:rFonts w:ascii="Times New Roman" w:hAnsi="Times New Roman" w:cs="Times New Roman" w:hint="default"/>
        <w:sz w:val="24"/>
        <w:szCs w:val="24"/>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82DDB"/>
    <w:multiLevelType w:val="hybridMultilevel"/>
    <w:tmpl w:val="B5A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A16DE"/>
    <w:multiLevelType w:val="hybridMultilevel"/>
    <w:tmpl w:val="E11EEA3A"/>
    <w:lvl w:ilvl="0" w:tplc="04090011">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4"/>
  </w:num>
  <w:num w:numId="2">
    <w:abstractNumId w:val="15"/>
  </w:num>
  <w:num w:numId="3">
    <w:abstractNumId w:val="23"/>
  </w:num>
  <w:num w:numId="4">
    <w:abstractNumId w:val="2"/>
  </w:num>
  <w:num w:numId="5">
    <w:abstractNumId w:val="11"/>
  </w:num>
  <w:num w:numId="6">
    <w:abstractNumId w:val="6"/>
  </w:num>
  <w:num w:numId="7">
    <w:abstractNumId w:val="16"/>
  </w:num>
  <w:num w:numId="8">
    <w:abstractNumId w:val="12"/>
  </w:num>
  <w:num w:numId="9">
    <w:abstractNumId w:val="21"/>
  </w:num>
  <w:num w:numId="10">
    <w:abstractNumId w:val="10"/>
  </w:num>
  <w:num w:numId="11">
    <w:abstractNumId w:val="22"/>
  </w:num>
  <w:num w:numId="12">
    <w:abstractNumId w:val="25"/>
  </w:num>
  <w:num w:numId="13">
    <w:abstractNumId w:val="14"/>
  </w:num>
  <w:num w:numId="14">
    <w:abstractNumId w:val="18"/>
  </w:num>
  <w:num w:numId="15">
    <w:abstractNumId w:val="8"/>
  </w:num>
  <w:num w:numId="16">
    <w:abstractNumId w:val="17"/>
  </w:num>
  <w:num w:numId="17">
    <w:abstractNumId w:val="22"/>
    <w:lvlOverride w:ilvl="0">
      <w:startOverride w:val="1"/>
    </w:lvlOverride>
  </w:num>
  <w:num w:numId="18">
    <w:abstractNumId w:val="1"/>
  </w:num>
  <w:num w:numId="19">
    <w:abstractNumId w:val="9"/>
  </w:num>
  <w:num w:numId="20">
    <w:abstractNumId w:val="7"/>
  </w:num>
  <w:num w:numId="21">
    <w:abstractNumId w:val="22"/>
    <w:lvlOverride w:ilvl="0">
      <w:startOverride w:val="1"/>
    </w:lvlOverride>
  </w:num>
  <w:num w:numId="22">
    <w:abstractNumId w:val="22"/>
    <w:lvlOverride w:ilvl="0">
      <w:startOverride w:val="35"/>
    </w:lvlOverride>
  </w:num>
  <w:num w:numId="23">
    <w:abstractNumId w:val="3"/>
  </w:num>
  <w:num w:numId="24">
    <w:abstractNumId w:val="19"/>
  </w:num>
  <w:num w:numId="25">
    <w:abstractNumId w:val="20"/>
  </w:num>
  <w:num w:numId="26">
    <w:abstractNumId w:val="13"/>
  </w:num>
  <w:num w:numId="27">
    <w:abstractNumId w:val="24"/>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46BF5"/>
    <w:rsid w:val="00073E0C"/>
    <w:rsid w:val="000D2120"/>
    <w:rsid w:val="000F5897"/>
    <w:rsid w:val="001156BF"/>
    <w:rsid w:val="0015774A"/>
    <w:rsid w:val="001D2D16"/>
    <w:rsid w:val="002651E4"/>
    <w:rsid w:val="002823AD"/>
    <w:rsid w:val="002A5F18"/>
    <w:rsid w:val="002C3232"/>
    <w:rsid w:val="003066E5"/>
    <w:rsid w:val="00320FF8"/>
    <w:rsid w:val="00346382"/>
    <w:rsid w:val="00366707"/>
    <w:rsid w:val="00390C0E"/>
    <w:rsid w:val="003A18CD"/>
    <w:rsid w:val="003D260D"/>
    <w:rsid w:val="003E13C8"/>
    <w:rsid w:val="003E4A63"/>
    <w:rsid w:val="003F4E77"/>
    <w:rsid w:val="00410971"/>
    <w:rsid w:val="00411283"/>
    <w:rsid w:val="00413B88"/>
    <w:rsid w:val="0047383C"/>
    <w:rsid w:val="0048784B"/>
    <w:rsid w:val="004A06A8"/>
    <w:rsid w:val="004A3C59"/>
    <w:rsid w:val="004B6B6E"/>
    <w:rsid w:val="004C2F47"/>
    <w:rsid w:val="004D6C35"/>
    <w:rsid w:val="005067C4"/>
    <w:rsid w:val="00522C2E"/>
    <w:rsid w:val="00526810"/>
    <w:rsid w:val="005412DB"/>
    <w:rsid w:val="005433CC"/>
    <w:rsid w:val="00563264"/>
    <w:rsid w:val="005635E1"/>
    <w:rsid w:val="00575FB9"/>
    <w:rsid w:val="005765E7"/>
    <w:rsid w:val="00583B24"/>
    <w:rsid w:val="005B0B0C"/>
    <w:rsid w:val="005B1245"/>
    <w:rsid w:val="005D2A2A"/>
    <w:rsid w:val="00610098"/>
    <w:rsid w:val="00614645"/>
    <w:rsid w:val="0062720B"/>
    <w:rsid w:val="00650256"/>
    <w:rsid w:val="00663BC6"/>
    <w:rsid w:val="00670254"/>
    <w:rsid w:val="00672350"/>
    <w:rsid w:val="00682EFF"/>
    <w:rsid w:val="00693D87"/>
    <w:rsid w:val="006A0D59"/>
    <w:rsid w:val="006B2AD0"/>
    <w:rsid w:val="006B7141"/>
    <w:rsid w:val="006F31D1"/>
    <w:rsid w:val="00730763"/>
    <w:rsid w:val="0073672E"/>
    <w:rsid w:val="0076160A"/>
    <w:rsid w:val="0078465C"/>
    <w:rsid w:val="0079404C"/>
    <w:rsid w:val="007F44AC"/>
    <w:rsid w:val="00815220"/>
    <w:rsid w:val="00821042"/>
    <w:rsid w:val="0084253F"/>
    <w:rsid w:val="008717FB"/>
    <w:rsid w:val="008730C1"/>
    <w:rsid w:val="008D70B6"/>
    <w:rsid w:val="009229F7"/>
    <w:rsid w:val="009317DF"/>
    <w:rsid w:val="009431A0"/>
    <w:rsid w:val="009738F9"/>
    <w:rsid w:val="00984C68"/>
    <w:rsid w:val="009E4621"/>
    <w:rsid w:val="00A427C4"/>
    <w:rsid w:val="00A6429D"/>
    <w:rsid w:val="00A716BF"/>
    <w:rsid w:val="00AA1CC1"/>
    <w:rsid w:val="00AB17DE"/>
    <w:rsid w:val="00AB3376"/>
    <w:rsid w:val="00AD7CB7"/>
    <w:rsid w:val="00AF314C"/>
    <w:rsid w:val="00AF6BDF"/>
    <w:rsid w:val="00B15E9D"/>
    <w:rsid w:val="00B9487B"/>
    <w:rsid w:val="00BA38E6"/>
    <w:rsid w:val="00BE5781"/>
    <w:rsid w:val="00BF0204"/>
    <w:rsid w:val="00C24D2F"/>
    <w:rsid w:val="00C431A7"/>
    <w:rsid w:val="00C662C5"/>
    <w:rsid w:val="00CA3F8B"/>
    <w:rsid w:val="00CB07C3"/>
    <w:rsid w:val="00CB3793"/>
    <w:rsid w:val="00D010FB"/>
    <w:rsid w:val="00D137D8"/>
    <w:rsid w:val="00D227EC"/>
    <w:rsid w:val="00D2290A"/>
    <w:rsid w:val="00D452EA"/>
    <w:rsid w:val="00D50E80"/>
    <w:rsid w:val="00D62649"/>
    <w:rsid w:val="00D66981"/>
    <w:rsid w:val="00DC57C1"/>
    <w:rsid w:val="00DC7ACE"/>
    <w:rsid w:val="00E34E18"/>
    <w:rsid w:val="00E36D69"/>
    <w:rsid w:val="00E5036D"/>
    <w:rsid w:val="00EA27A6"/>
    <w:rsid w:val="00EA39FD"/>
    <w:rsid w:val="00EF5B4D"/>
    <w:rsid w:val="00F03656"/>
    <w:rsid w:val="00F250BA"/>
    <w:rsid w:val="00F31D11"/>
    <w:rsid w:val="00F51E12"/>
    <w:rsid w:val="00F57262"/>
    <w:rsid w:val="00F661F6"/>
    <w:rsid w:val="00F84523"/>
    <w:rsid w:val="00FA56E4"/>
    <w:rsid w:val="00FF1402"/>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7BEC8C2-296A-41B4-8174-8A65D2D2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042"/>
    <w:pPr>
      <w:numPr>
        <w:ilvl w:val="1"/>
        <w:numId w:val="11"/>
      </w:numPr>
      <w:contextualSpacing/>
      <w:jc w:val="both"/>
      <w:outlineLvl w:val="0"/>
    </w:pPr>
    <w:rPr>
      <w:rFonts w:ascii="Arial" w:hAnsi="Arial"/>
      <w:sz w:val="20"/>
      <w:szCs w:val="20"/>
    </w:rPr>
  </w:style>
  <w:style w:type="character" w:styleId="Hyperlink">
    <w:name w:val="Hyperlink"/>
    <w:basedOn w:val="DefaultParagraphFont"/>
    <w:uiPriority w:val="99"/>
    <w:rsid w:val="003E13C8"/>
    <w:rPr>
      <w:rFonts w:cs="Times New Roman"/>
      <w:color w:val="0000FF"/>
      <w:u w:val="single"/>
    </w:rPr>
  </w:style>
  <w:style w:type="paragraph" w:styleId="BalloonText">
    <w:name w:val="Balloon Text"/>
    <w:basedOn w:val="Normal"/>
    <w:link w:val="BalloonTextChar"/>
    <w:uiPriority w:val="99"/>
    <w:semiHidden/>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72E"/>
    <w:rPr>
      <w:rFonts w:ascii="Tahoma" w:hAnsi="Tahoma" w:cs="Tahoma"/>
      <w:sz w:val="16"/>
      <w:szCs w:val="16"/>
    </w:rPr>
  </w:style>
  <w:style w:type="character" w:styleId="FollowedHyperlink">
    <w:name w:val="FollowedHyperlink"/>
    <w:basedOn w:val="DefaultParagraphFont"/>
    <w:uiPriority w:val="99"/>
    <w:semiHidden/>
    <w:rsid w:val="00390C0E"/>
    <w:rPr>
      <w:rFonts w:cs="Times New Roman"/>
      <w:color w:val="800080"/>
      <w:u w:val="single"/>
    </w:rPr>
  </w:style>
  <w:style w:type="paragraph" w:styleId="NormalWeb">
    <w:name w:val="Normal (Web)"/>
    <w:basedOn w:val="Normal"/>
    <w:uiPriority w:val="99"/>
    <w:rsid w:val="00D137D8"/>
    <w:pPr>
      <w:spacing w:before="100" w:beforeAutospacing="1" w:after="100" w:afterAutospacing="1"/>
    </w:pPr>
  </w:style>
  <w:style w:type="table" w:styleId="TableGrid">
    <w:name w:val="Table Grid"/>
    <w:basedOn w:val="TableNormal"/>
    <w:uiPriority w:val="59"/>
    <w:locked/>
    <w:rsid w:val="0028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B4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7</cp:revision>
  <cp:lastPrinted>2014-07-02T18:15:00Z</cp:lastPrinted>
  <dcterms:created xsi:type="dcterms:W3CDTF">2017-06-28T17:40:00Z</dcterms:created>
  <dcterms:modified xsi:type="dcterms:W3CDTF">2017-09-13T21:19:00Z</dcterms:modified>
</cp:coreProperties>
</file>