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BD7E52" w:rsidP="003E13C8">
      <w:pPr>
        <w:ind w:firstLine="360"/>
        <w:rPr>
          <w:b/>
          <w:sz w:val="32"/>
          <w:u w:val="single"/>
        </w:rPr>
      </w:pPr>
      <w:r>
        <w:rPr>
          <w:b/>
          <w:sz w:val="32"/>
          <w:u w:val="single"/>
        </w:rPr>
        <w:t>Internal Medicine</w:t>
      </w:r>
      <w:r w:rsidR="00B24D21">
        <w:rPr>
          <w:b/>
          <w:sz w:val="32"/>
          <w:u w:val="single"/>
        </w:rPr>
        <w:t xml:space="preserve"> </w:t>
      </w:r>
      <w:r w:rsidR="00984C68">
        <w:rPr>
          <w:b/>
          <w:sz w:val="32"/>
          <w:u w:val="single"/>
        </w:rPr>
        <w:t>II</w:t>
      </w:r>
      <w:r w:rsidR="003E13C8">
        <w:rPr>
          <w:b/>
          <w:sz w:val="32"/>
          <w:u w:val="single"/>
        </w:rPr>
        <w:t xml:space="preserve"> Learning </w:t>
      </w:r>
      <w:r w:rsidR="005B0B0C">
        <w:rPr>
          <w:b/>
          <w:sz w:val="32"/>
          <w:u w:val="single"/>
        </w:rPr>
        <w:t>Experience</w:t>
      </w:r>
      <w:r w:rsidR="003E13C8">
        <w:rPr>
          <w:b/>
          <w:sz w:val="32"/>
          <w:u w:val="single"/>
        </w:rPr>
        <w:t>:</w:t>
      </w:r>
    </w:p>
    <w:p w:rsidR="00BD7E52" w:rsidRDefault="00BD7E52" w:rsidP="00BD7E52">
      <w:pPr>
        <w:ind w:firstLine="360"/>
        <w:rPr>
          <w:b/>
        </w:rPr>
      </w:pPr>
      <w:r>
        <w:rPr>
          <w:b/>
        </w:rPr>
        <w:t xml:space="preserve">Preceptor: Susan Miller, </w:t>
      </w:r>
      <w:proofErr w:type="spellStart"/>
      <w:r>
        <w:rPr>
          <w:b/>
        </w:rPr>
        <w:t>PharmD</w:t>
      </w:r>
      <w:proofErr w:type="spellEnd"/>
      <w:r>
        <w:rPr>
          <w:b/>
        </w:rPr>
        <w:t>, MBA, BCPS,</w:t>
      </w:r>
      <w:r w:rsidR="00E518D0">
        <w:rPr>
          <w:b/>
        </w:rPr>
        <w:t xml:space="preserve"> CDE,</w:t>
      </w:r>
      <w:r>
        <w:rPr>
          <w:b/>
        </w:rPr>
        <w:t xml:space="preserve"> FCCP</w:t>
      </w:r>
    </w:p>
    <w:p w:rsidR="00A224CD" w:rsidRPr="00BA0297" w:rsidRDefault="00A224CD" w:rsidP="00A224CD">
      <w:pPr>
        <w:ind w:firstLine="360"/>
        <w:rPr>
          <w:b/>
        </w:rPr>
      </w:pPr>
      <w:r w:rsidRPr="00BA0297">
        <w:rPr>
          <w:b/>
        </w:rPr>
        <w:t>Director of Pharmacotherapy Education - SRAHEC</w:t>
      </w:r>
    </w:p>
    <w:p w:rsidR="00A224CD" w:rsidRPr="00BA0297" w:rsidRDefault="00A224CD" w:rsidP="00A224CD">
      <w:pPr>
        <w:ind w:firstLine="360"/>
        <w:rPr>
          <w:b/>
        </w:rPr>
      </w:pPr>
      <w:r w:rsidRPr="00BA0297">
        <w:rPr>
          <w:b/>
        </w:rPr>
        <w:t xml:space="preserve">Clinical Associate Professor - UNC - CH School of Pharmacy </w:t>
      </w:r>
    </w:p>
    <w:p w:rsidR="00A224CD" w:rsidRPr="00BA0297" w:rsidRDefault="00A224CD" w:rsidP="00A224CD">
      <w:pPr>
        <w:ind w:firstLine="360"/>
        <w:rPr>
          <w:b/>
        </w:rPr>
      </w:pPr>
      <w:r w:rsidRPr="00BA0297">
        <w:rPr>
          <w:b/>
        </w:rPr>
        <w:t>PGY1 Pharmacy Residency Director - CFVHS / SRAHEC</w:t>
      </w:r>
    </w:p>
    <w:p w:rsidR="00BD7E52" w:rsidRDefault="00BD7E52" w:rsidP="00BD7E52">
      <w:pPr>
        <w:ind w:firstLine="360"/>
        <w:rPr>
          <w:b/>
        </w:rPr>
      </w:pPr>
      <w:r>
        <w:rPr>
          <w:b/>
        </w:rPr>
        <w:t xml:space="preserve">Office:  </w:t>
      </w:r>
      <w:r w:rsidR="00E518D0">
        <w:rPr>
          <w:b/>
        </w:rPr>
        <w:t>SRAHEC Office Number 231</w:t>
      </w:r>
      <w:r>
        <w:rPr>
          <w:b/>
        </w:rPr>
        <w:t xml:space="preserve"> </w:t>
      </w:r>
    </w:p>
    <w:p w:rsidR="00BD7E52" w:rsidRDefault="00BD7E52" w:rsidP="00BD7E52">
      <w:pPr>
        <w:ind w:firstLine="360"/>
        <w:rPr>
          <w:b/>
        </w:rPr>
      </w:pPr>
      <w:r>
        <w:rPr>
          <w:b/>
        </w:rPr>
        <w:t xml:space="preserve">Email:  </w:t>
      </w:r>
      <w:hyperlink r:id="rId7" w:history="1">
        <w:r w:rsidRPr="006E4A03">
          <w:rPr>
            <w:rStyle w:val="Hyperlink"/>
            <w:b/>
          </w:rPr>
          <w:t>susan.miller@sr-ahec.org</w:t>
        </w:r>
      </w:hyperlink>
      <w:r>
        <w:rPr>
          <w:b/>
        </w:rPr>
        <w:t xml:space="preserve"> </w:t>
      </w:r>
    </w:p>
    <w:p w:rsidR="00BD7E52" w:rsidRDefault="00BD7E52" w:rsidP="00BD7E52">
      <w:pPr>
        <w:ind w:firstLine="360"/>
        <w:rPr>
          <w:b/>
        </w:rPr>
      </w:pPr>
      <w:r>
        <w:rPr>
          <w:b/>
        </w:rPr>
        <w:t xml:space="preserve">Hours: </w:t>
      </w:r>
      <w:r w:rsidR="000970C1">
        <w:rPr>
          <w:b/>
        </w:rPr>
        <w:t>8am – 5pm</w:t>
      </w:r>
    </w:p>
    <w:p w:rsidR="003E13C8" w:rsidRDefault="003E13C8" w:rsidP="003E13C8"/>
    <w:p w:rsidR="003E13C8" w:rsidRDefault="003E13C8" w:rsidP="003E13C8">
      <w:pPr>
        <w:numPr>
          <w:ilvl w:val="0"/>
          <w:numId w:val="1"/>
        </w:numPr>
        <w:rPr>
          <w:b/>
          <w:u w:val="single"/>
        </w:rPr>
      </w:pPr>
      <w:r>
        <w:rPr>
          <w:b/>
          <w:u w:val="single"/>
        </w:rPr>
        <w:t>General Description</w:t>
      </w:r>
    </w:p>
    <w:p w:rsidR="005F28EA" w:rsidRDefault="00775871" w:rsidP="000970C1">
      <w:pPr>
        <w:ind w:left="360"/>
      </w:pPr>
      <w:r w:rsidRPr="001156BF">
        <w:t xml:space="preserve">The </w:t>
      </w:r>
      <w:r>
        <w:t xml:space="preserve">Internal Medicine II learning experience is </w:t>
      </w:r>
      <w:r w:rsidR="005F28EA">
        <w:t>required, four week rotations with the Southern Regional Family Medicine inpatient service at Cape Fear Valley Hospital.</w:t>
      </w:r>
      <w:r>
        <w:t xml:space="preserve">  Internal Medicine II is completed in the second half of the residency year.</w:t>
      </w:r>
      <w:r w:rsidR="005F28EA">
        <w:t xml:space="preserve">  </w:t>
      </w:r>
      <w:r w:rsidR="00E77CC6">
        <w:t xml:space="preserve">The Family Medicine inpatient service consists of an attending physician, a clinical pharmacist, family medicine residents (PGY1 – 3), and medical (MSIII or MSIV) and pharmacy students (PY4). Additionally a marriage and family therapist and a medical librarian attend rounds once weekly.  This collaborative team is designed to provide the resident with experience and training in the clinical care of patients in the inpatient setting for an average of 15 patients per day.  The experience serves as a valuable learning environment that provides the resident with the opportunity to </w:t>
      </w:r>
      <w:r w:rsidR="00F00E81">
        <w:t>work closely with</w:t>
      </w:r>
      <w:r w:rsidR="00E77CC6">
        <w:t xml:space="preserve"> medical residents in the care of hospitalized patients while allowing the pharmacy resident to enhance his or her knowledge in a variety of disease states in the </w:t>
      </w:r>
      <w:r w:rsidR="00F00E81">
        <w:t>acute care setting.</w:t>
      </w:r>
    </w:p>
    <w:p w:rsidR="00F00E81" w:rsidRDefault="00F00E81" w:rsidP="000970C1"/>
    <w:p w:rsidR="000970C1" w:rsidRDefault="00F00E81" w:rsidP="000970C1">
      <w:pPr>
        <w:ind w:left="360"/>
      </w:pPr>
      <w:r>
        <w:t xml:space="preserve">The clinical pharmacist on the team is responsible for ensuring safe and effective </w:t>
      </w:r>
    </w:p>
    <w:p w:rsidR="00F00E81" w:rsidRDefault="00F00E81" w:rsidP="000970C1">
      <w:pPr>
        <w:ind w:left="360"/>
      </w:pPr>
      <w:r>
        <w:t xml:space="preserve">medication use for all patients admitted to the team, including active participation in work and attending rounds daily; admission and discharge medication reconciliations; pharmacokinetic dosing and monitoring of a variety of medications (i.e. aminoglycosides, vancomycin, warfarin, </w:t>
      </w:r>
      <w:r w:rsidR="002C7CC5">
        <w:t>etc.</w:t>
      </w:r>
      <w:r>
        <w:t>); education of patients and their family members; education of physicians and medical residents; education of pharmacy trainees; and collaboration with decentralized pharmacists to assure timely medication availability.</w:t>
      </w:r>
    </w:p>
    <w:p w:rsidR="00F00E81" w:rsidRDefault="00F00E81" w:rsidP="000970C1"/>
    <w:p w:rsidR="00F00E81" w:rsidRDefault="00F00E81" w:rsidP="000970C1">
      <w:pPr>
        <w:ind w:left="360"/>
      </w:pPr>
      <w:r>
        <w:t xml:space="preserve">The pharmacy resident is responsible for identifying and resolving medication therapy issues for patients and will work towards assuming care of all patients on the service throughout the learning experiences.  </w:t>
      </w:r>
      <w:r w:rsidR="007A780D">
        <w:t xml:space="preserve">The resident will develop or enhance the skills and techniques in how to work up a hospitalized patient and how to conduct a medication history in a timely manner.  </w:t>
      </w:r>
      <w:r>
        <w:t>The resident will provide drug related problem recommendations</w:t>
      </w:r>
      <w:r w:rsidR="007A780D">
        <w:t xml:space="preserve"> to the team</w:t>
      </w:r>
      <w:r>
        <w:t xml:space="preserve"> </w:t>
      </w:r>
      <w:r w:rsidR="007A780D">
        <w:t xml:space="preserve">and document recommendations </w:t>
      </w:r>
      <w:r>
        <w:t xml:space="preserve">in the Siemens pharmacy computer system regularly throughout the rotation.  The resident will document therapeutic drug monitoring services for patients on their team receiving drugs requiring monitoring including, but not limited to vancomycin and aminoglycosides.  Documentation must be completed on the day service was provided.  The </w:t>
      </w:r>
      <w:r>
        <w:lastRenderedPageBreak/>
        <w:t xml:space="preserve">resident is responsible for providing medication education to patients on the team upon </w:t>
      </w:r>
      <w:r w:rsidR="007A780D">
        <w:t>discharge</w:t>
      </w:r>
      <w:r>
        <w:t>.</w:t>
      </w:r>
      <w:r w:rsidR="007A780D">
        <w:t xml:space="preserve"> The resident will complete medication reconciliation with the SRAHEC Centricity electronic medical record within 48 hours of patient discharge.  The resident is responsible for providing education to the inpatient family medicine team throughout the rotation to include formal presentations. The resident will be involved in precepting pharmacy students during this rotation.</w:t>
      </w:r>
    </w:p>
    <w:p w:rsidR="00775871" w:rsidRDefault="00775871" w:rsidP="00E74801">
      <w:pPr>
        <w:ind w:left="360"/>
      </w:pPr>
    </w:p>
    <w:p w:rsidR="007A780D" w:rsidRDefault="00775871" w:rsidP="00E74801">
      <w:pPr>
        <w:ind w:left="360"/>
      </w:pPr>
      <w:r>
        <w:t>Internal Medicine II will begin where Internal Medicine I left off in regards to the expectations of the resident regarding clinical care.  At the beginning of this e</w:t>
      </w:r>
      <w:r w:rsidR="00E74801">
        <w:t>xperience, the resident should be able to cover the service with only facilitation from the preceptor.</w:t>
      </w:r>
      <w:r>
        <w:t xml:space="preserve">  The </w:t>
      </w:r>
      <w:r w:rsidR="00E74801">
        <w:t xml:space="preserve">second Internal Medicine experience focuses more on the aspect of precepting pharmacy students in a clinical rotation.  In addition to the being responsible for the clinical aspects of patient care for the service, the resident will complete many of the activities of a preceptor and serve as the primary preceptor, under preceptor coaching and facilitating, such as calendar development, </w:t>
      </w:r>
      <w:r w:rsidR="008C66B0">
        <w:t xml:space="preserve">facilitating </w:t>
      </w:r>
      <w:r w:rsidR="00E74801">
        <w:t>topic discussion presentations, and providing feedback and evaluations for the student(s).</w:t>
      </w:r>
    </w:p>
    <w:p w:rsidR="007A780D" w:rsidRDefault="007A780D" w:rsidP="000970C1"/>
    <w:p w:rsidR="007A780D" w:rsidRPr="00E74801" w:rsidRDefault="007A780D" w:rsidP="000970C1">
      <w:pPr>
        <w:ind w:left="360"/>
      </w:pPr>
      <w:r w:rsidRPr="00E74801">
        <w:t>Time management skills</w:t>
      </w:r>
      <w:r w:rsidR="00744DC2">
        <w:t xml:space="preserve"> and g</w:t>
      </w:r>
      <w:r w:rsidRPr="00E74801">
        <w:t xml:space="preserve">ood communication and interpersonal skills are vital to success in this experience.  The resident must devise efficient strategies for accomplishing the required activities in a limited time frame.  </w:t>
      </w:r>
    </w:p>
    <w:p w:rsidR="005F28EA" w:rsidRPr="00767262" w:rsidRDefault="005F28EA" w:rsidP="000970C1">
      <w:pPr>
        <w:ind w:left="360"/>
        <w:rPr>
          <w:highlight w:val="yellow"/>
        </w:rPr>
      </w:pPr>
    </w:p>
    <w:p w:rsidR="003E13C8" w:rsidRPr="00791DB8" w:rsidRDefault="003E13C8" w:rsidP="003E13C8">
      <w:pPr>
        <w:numPr>
          <w:ilvl w:val="0"/>
          <w:numId w:val="1"/>
        </w:numPr>
        <w:rPr>
          <w:b/>
          <w:u w:val="single"/>
        </w:rPr>
      </w:pPr>
      <w:r w:rsidRPr="00791DB8">
        <w:rPr>
          <w:b/>
          <w:u w:val="single"/>
        </w:rPr>
        <w:t>Disease States</w:t>
      </w:r>
    </w:p>
    <w:p w:rsidR="003E13C8" w:rsidRPr="00791DB8" w:rsidRDefault="003E13C8" w:rsidP="003E13C8">
      <w:pPr>
        <w:ind w:left="360"/>
      </w:pPr>
      <w:r w:rsidRPr="00791DB8">
        <w:t>Common disease states in which the resident will be expected to gain proficiency through literature review, topic discussion, and/or direct patient care experience including, but not limited to</w:t>
      </w:r>
      <w:r w:rsidR="00D50E80" w:rsidRPr="00791DB8">
        <w:t>, acute management of</w:t>
      </w:r>
      <w:r w:rsidRPr="00791DB8">
        <w:t>:</w:t>
      </w:r>
    </w:p>
    <w:p w:rsidR="00CA3F8B" w:rsidRPr="00791DB8" w:rsidRDefault="00D50E80" w:rsidP="00CA3F8B">
      <w:pPr>
        <w:numPr>
          <w:ilvl w:val="1"/>
          <w:numId w:val="9"/>
        </w:numPr>
      </w:pPr>
      <w:r w:rsidRPr="00791DB8">
        <w:t>Cardiovascular disorders</w:t>
      </w:r>
    </w:p>
    <w:p w:rsidR="00D50E80" w:rsidRPr="00791DB8" w:rsidRDefault="00D50E80" w:rsidP="00D50E80">
      <w:pPr>
        <w:numPr>
          <w:ilvl w:val="2"/>
          <w:numId w:val="9"/>
        </w:numPr>
      </w:pPr>
      <w:r w:rsidRPr="00791DB8">
        <w:t>Hypertension</w:t>
      </w:r>
      <w:r w:rsidR="00791DB8">
        <w:t xml:space="preserve"> Urgencies/Emergencies</w:t>
      </w:r>
    </w:p>
    <w:p w:rsidR="00D50E80" w:rsidRPr="00791DB8" w:rsidRDefault="00D50E80" w:rsidP="00D50E80">
      <w:pPr>
        <w:numPr>
          <w:ilvl w:val="2"/>
          <w:numId w:val="9"/>
        </w:numPr>
      </w:pPr>
      <w:r w:rsidRPr="00791DB8">
        <w:t>Heart failure</w:t>
      </w:r>
    </w:p>
    <w:p w:rsidR="00D50E80" w:rsidRPr="00791DB8" w:rsidRDefault="00D50E80" w:rsidP="00D50E80">
      <w:pPr>
        <w:numPr>
          <w:ilvl w:val="2"/>
          <w:numId w:val="9"/>
        </w:numPr>
      </w:pPr>
      <w:r w:rsidRPr="00791DB8">
        <w:t>Myocardial infarction</w:t>
      </w:r>
    </w:p>
    <w:p w:rsidR="00D50E80" w:rsidRPr="00791DB8" w:rsidRDefault="00D50E80" w:rsidP="00D50E80">
      <w:pPr>
        <w:numPr>
          <w:ilvl w:val="2"/>
          <w:numId w:val="9"/>
        </w:numPr>
      </w:pPr>
      <w:r w:rsidRPr="00791DB8">
        <w:t>Stroke</w:t>
      </w:r>
    </w:p>
    <w:p w:rsidR="00791DB8" w:rsidRPr="00791DB8" w:rsidRDefault="00791DB8" w:rsidP="00D50E80">
      <w:pPr>
        <w:numPr>
          <w:ilvl w:val="2"/>
          <w:numId w:val="9"/>
        </w:numPr>
      </w:pPr>
      <w:r w:rsidRPr="00791DB8">
        <w:t>A fib</w:t>
      </w:r>
      <w:r>
        <w:t xml:space="preserve"> and other arrhythmias</w:t>
      </w:r>
    </w:p>
    <w:p w:rsidR="00D50E80" w:rsidRDefault="00D50E80" w:rsidP="00D50E80">
      <w:pPr>
        <w:numPr>
          <w:ilvl w:val="1"/>
          <w:numId w:val="9"/>
        </w:numPr>
      </w:pPr>
      <w:r>
        <w:t>Endocrinologic disorders</w:t>
      </w:r>
    </w:p>
    <w:p w:rsidR="00D50E80" w:rsidRDefault="00791DB8" w:rsidP="00D50E80">
      <w:pPr>
        <w:numPr>
          <w:ilvl w:val="2"/>
          <w:numId w:val="9"/>
        </w:numPr>
      </w:pPr>
      <w:r>
        <w:t>DKA</w:t>
      </w:r>
    </w:p>
    <w:p w:rsidR="00D50E80" w:rsidRDefault="00D50E80" w:rsidP="00D50E80">
      <w:pPr>
        <w:numPr>
          <w:ilvl w:val="2"/>
          <w:numId w:val="9"/>
        </w:numPr>
      </w:pPr>
      <w:r>
        <w:t>Thyroid disorders</w:t>
      </w:r>
    </w:p>
    <w:p w:rsidR="00D50E80" w:rsidRPr="00775871" w:rsidRDefault="00D50E80" w:rsidP="00D50E80">
      <w:pPr>
        <w:numPr>
          <w:ilvl w:val="1"/>
          <w:numId w:val="9"/>
        </w:numPr>
      </w:pPr>
      <w:r w:rsidRPr="00775871">
        <w:t>Respiratory disorders</w:t>
      </w:r>
    </w:p>
    <w:p w:rsidR="00D50E80" w:rsidRDefault="00D50E80" w:rsidP="00D50E80">
      <w:pPr>
        <w:numPr>
          <w:ilvl w:val="2"/>
          <w:numId w:val="9"/>
        </w:numPr>
      </w:pPr>
      <w:r>
        <w:t>Asthma</w:t>
      </w:r>
    </w:p>
    <w:p w:rsidR="00D50E80" w:rsidRDefault="00D50E80" w:rsidP="00D50E80">
      <w:pPr>
        <w:numPr>
          <w:ilvl w:val="2"/>
          <w:numId w:val="9"/>
        </w:numPr>
      </w:pPr>
      <w:r>
        <w:t>COPD</w:t>
      </w:r>
    </w:p>
    <w:p w:rsidR="00D50E80" w:rsidRDefault="00D50E80" w:rsidP="00D50E80">
      <w:pPr>
        <w:numPr>
          <w:ilvl w:val="2"/>
          <w:numId w:val="9"/>
        </w:numPr>
      </w:pPr>
      <w:r>
        <w:t>Upper respiratory infections (viral and bacterial)</w:t>
      </w:r>
    </w:p>
    <w:p w:rsidR="00D50E80" w:rsidRDefault="00D50E80" w:rsidP="00D50E80">
      <w:pPr>
        <w:numPr>
          <w:ilvl w:val="1"/>
          <w:numId w:val="9"/>
        </w:numPr>
      </w:pPr>
      <w:r>
        <w:t>Neurological disorders</w:t>
      </w:r>
    </w:p>
    <w:p w:rsidR="00791DB8" w:rsidRDefault="00791DB8" w:rsidP="00D50E80">
      <w:pPr>
        <w:numPr>
          <w:ilvl w:val="2"/>
          <w:numId w:val="9"/>
        </w:numPr>
      </w:pPr>
      <w:r>
        <w:t>Seizures</w:t>
      </w:r>
    </w:p>
    <w:p w:rsidR="00D50E80" w:rsidRDefault="00D50E80" w:rsidP="00D50E80">
      <w:pPr>
        <w:numPr>
          <w:ilvl w:val="2"/>
          <w:numId w:val="9"/>
        </w:numPr>
      </w:pPr>
      <w:r>
        <w:t>Pain management (acute and chronic)</w:t>
      </w:r>
    </w:p>
    <w:p w:rsidR="00D50E80" w:rsidRDefault="00D50E80" w:rsidP="00D50E80">
      <w:pPr>
        <w:numPr>
          <w:ilvl w:val="1"/>
          <w:numId w:val="9"/>
        </w:numPr>
      </w:pPr>
      <w:r>
        <w:t>Infectious diseases</w:t>
      </w:r>
    </w:p>
    <w:p w:rsidR="00D50E80" w:rsidRDefault="00D50E80" w:rsidP="00D50E80">
      <w:pPr>
        <w:numPr>
          <w:ilvl w:val="2"/>
          <w:numId w:val="9"/>
        </w:numPr>
      </w:pPr>
      <w:r>
        <w:t>Urinary tract infections</w:t>
      </w:r>
    </w:p>
    <w:p w:rsidR="00D50E80" w:rsidRDefault="00D50E80" w:rsidP="00D50E80">
      <w:pPr>
        <w:numPr>
          <w:ilvl w:val="2"/>
          <w:numId w:val="9"/>
        </w:numPr>
      </w:pPr>
      <w:r>
        <w:t>Pneumonia</w:t>
      </w:r>
    </w:p>
    <w:p w:rsidR="00D50E80" w:rsidRDefault="00D50E80" w:rsidP="00D50E80">
      <w:pPr>
        <w:numPr>
          <w:ilvl w:val="2"/>
          <w:numId w:val="9"/>
        </w:numPr>
      </w:pPr>
      <w:r>
        <w:t>Skin and soft tissue infections</w:t>
      </w:r>
    </w:p>
    <w:p w:rsidR="00791DB8" w:rsidRDefault="00791DB8" w:rsidP="00D50E80">
      <w:pPr>
        <w:numPr>
          <w:ilvl w:val="2"/>
          <w:numId w:val="9"/>
        </w:numPr>
      </w:pPr>
      <w:r>
        <w:t>Sepsis</w:t>
      </w:r>
    </w:p>
    <w:p w:rsidR="00D50E80" w:rsidRDefault="00D50E80" w:rsidP="00D50E80">
      <w:pPr>
        <w:numPr>
          <w:ilvl w:val="2"/>
          <w:numId w:val="9"/>
        </w:numPr>
      </w:pPr>
      <w:r>
        <w:t>HIV</w:t>
      </w:r>
    </w:p>
    <w:p w:rsidR="00D50E80" w:rsidRDefault="00D50E80" w:rsidP="00D50E80">
      <w:pPr>
        <w:numPr>
          <w:ilvl w:val="1"/>
          <w:numId w:val="9"/>
        </w:numPr>
      </w:pPr>
      <w:r>
        <w:t xml:space="preserve">Gastrointestinal </w:t>
      </w:r>
      <w:r w:rsidR="00791DB8">
        <w:t xml:space="preserve">/ Liver </w:t>
      </w:r>
      <w:r>
        <w:t>disorders</w:t>
      </w:r>
    </w:p>
    <w:p w:rsidR="00CA3F8B" w:rsidRDefault="00791DB8" w:rsidP="00CA3F8B">
      <w:pPr>
        <w:numPr>
          <w:ilvl w:val="2"/>
          <w:numId w:val="9"/>
        </w:numPr>
      </w:pPr>
      <w:r>
        <w:t>GI Bleeds</w:t>
      </w:r>
    </w:p>
    <w:p w:rsidR="00D50E80" w:rsidRDefault="00791DB8" w:rsidP="00D50E80">
      <w:pPr>
        <w:numPr>
          <w:ilvl w:val="2"/>
          <w:numId w:val="9"/>
        </w:numPr>
      </w:pPr>
      <w:r>
        <w:t>Peptic Ulcer Bleeds</w:t>
      </w:r>
    </w:p>
    <w:p w:rsidR="00D50E80" w:rsidRDefault="00D50E80" w:rsidP="00D50E80">
      <w:pPr>
        <w:numPr>
          <w:ilvl w:val="2"/>
          <w:numId w:val="9"/>
        </w:numPr>
      </w:pPr>
      <w:r>
        <w:t>Hepatitis</w:t>
      </w:r>
    </w:p>
    <w:p w:rsidR="00791DB8" w:rsidRDefault="00791DB8" w:rsidP="00D50E80">
      <w:pPr>
        <w:numPr>
          <w:ilvl w:val="2"/>
          <w:numId w:val="9"/>
        </w:numPr>
      </w:pPr>
      <w:r>
        <w:t>Pancreatitis</w:t>
      </w:r>
    </w:p>
    <w:p w:rsidR="00791DB8" w:rsidRDefault="00791DB8" w:rsidP="00D50E80">
      <w:pPr>
        <w:numPr>
          <w:ilvl w:val="2"/>
          <w:numId w:val="9"/>
        </w:numPr>
      </w:pPr>
      <w:r>
        <w:t>Alcoholic Cirrosis</w:t>
      </w:r>
    </w:p>
    <w:p w:rsidR="00D50E80" w:rsidRDefault="00D50E80" w:rsidP="00D50E80">
      <w:pPr>
        <w:numPr>
          <w:ilvl w:val="1"/>
          <w:numId w:val="9"/>
        </w:numPr>
      </w:pPr>
      <w:r>
        <w:t>Psychological disorders</w:t>
      </w:r>
    </w:p>
    <w:p w:rsidR="00CA3F8B" w:rsidRDefault="00CA3F8B" w:rsidP="00CA3F8B">
      <w:pPr>
        <w:numPr>
          <w:ilvl w:val="2"/>
          <w:numId w:val="9"/>
        </w:numPr>
      </w:pPr>
      <w:r>
        <w:t>Depression</w:t>
      </w:r>
    </w:p>
    <w:p w:rsidR="00D50E80" w:rsidRDefault="00D50E80" w:rsidP="00CA3F8B">
      <w:pPr>
        <w:numPr>
          <w:ilvl w:val="2"/>
          <w:numId w:val="9"/>
        </w:numPr>
      </w:pPr>
      <w:r>
        <w:t>Bipolar disorder</w:t>
      </w:r>
    </w:p>
    <w:p w:rsidR="00D50E80" w:rsidRDefault="00D50E80" w:rsidP="00CA3F8B">
      <w:pPr>
        <w:numPr>
          <w:ilvl w:val="2"/>
          <w:numId w:val="9"/>
        </w:numPr>
      </w:pPr>
      <w:r>
        <w:t>Schizophrenia</w:t>
      </w:r>
    </w:p>
    <w:p w:rsidR="00791DB8" w:rsidRDefault="00791DB8" w:rsidP="00791DB8">
      <w:pPr>
        <w:numPr>
          <w:ilvl w:val="1"/>
          <w:numId w:val="9"/>
        </w:numPr>
      </w:pPr>
      <w:r>
        <w:t>Fluid/Electrolyte Management</w:t>
      </w:r>
    </w:p>
    <w:p w:rsidR="00791DB8" w:rsidRDefault="00791DB8" w:rsidP="00791DB8">
      <w:pPr>
        <w:numPr>
          <w:ilvl w:val="1"/>
          <w:numId w:val="9"/>
        </w:numPr>
      </w:pPr>
      <w:r>
        <w:t>Kidney Diseases (Acute and Chronic)</w:t>
      </w:r>
    </w:p>
    <w:p w:rsidR="00791DB8" w:rsidRDefault="00791DB8" w:rsidP="00791DB8">
      <w:pPr>
        <w:numPr>
          <w:ilvl w:val="1"/>
          <w:numId w:val="9"/>
        </w:numPr>
      </w:pPr>
      <w:r>
        <w:t>Pulmonary Embolism / DVTs</w:t>
      </w:r>
    </w:p>
    <w:p w:rsidR="00791DB8" w:rsidRDefault="00455A94" w:rsidP="00791DB8">
      <w:pPr>
        <w:numPr>
          <w:ilvl w:val="1"/>
          <w:numId w:val="9"/>
        </w:numPr>
      </w:pPr>
      <w:r>
        <w:t>Anemia</w:t>
      </w:r>
    </w:p>
    <w:p w:rsidR="00C071E1" w:rsidRDefault="00C071E1" w:rsidP="00791DB8">
      <w:pPr>
        <w:numPr>
          <w:ilvl w:val="1"/>
          <w:numId w:val="9"/>
        </w:numPr>
      </w:pPr>
      <w:r>
        <w:t>Teaching / Learning Topics</w:t>
      </w:r>
    </w:p>
    <w:p w:rsidR="00C071E1" w:rsidRDefault="00C071E1" w:rsidP="00C071E1">
      <w:pPr>
        <w:numPr>
          <w:ilvl w:val="2"/>
          <w:numId w:val="9"/>
        </w:numPr>
      </w:pPr>
      <w:r>
        <w:t>Teaching Clinical Skills to Learners</w:t>
      </w:r>
    </w:p>
    <w:p w:rsidR="00C071E1" w:rsidRDefault="00C071E1" w:rsidP="00C071E1">
      <w:pPr>
        <w:numPr>
          <w:ilvl w:val="2"/>
          <w:numId w:val="9"/>
        </w:numPr>
      </w:pPr>
      <w:r>
        <w:t>One Minute Preceptor and other Preceptor Techniques</w:t>
      </w:r>
    </w:p>
    <w:p w:rsidR="00C071E1" w:rsidRDefault="00C071E1" w:rsidP="00C071E1">
      <w:pPr>
        <w:numPr>
          <w:ilvl w:val="2"/>
          <w:numId w:val="9"/>
        </w:numPr>
      </w:pPr>
      <w:r>
        <w:t>Providing Effective Feedback to Learners</w:t>
      </w:r>
    </w:p>
    <w:p w:rsidR="00C071E1" w:rsidRDefault="00C071E1" w:rsidP="00C071E1">
      <w:pPr>
        <w:numPr>
          <w:ilvl w:val="2"/>
          <w:numId w:val="9"/>
        </w:numPr>
      </w:pPr>
      <w:r>
        <w:t>Evaluation Process and Errors in the Evaluation Process</w:t>
      </w:r>
    </w:p>
    <w:p w:rsidR="00C071E1" w:rsidRDefault="00C071E1" w:rsidP="00C071E1">
      <w:pPr>
        <w:numPr>
          <w:ilvl w:val="2"/>
          <w:numId w:val="9"/>
        </w:numPr>
      </w:pPr>
      <w:r>
        <w:t>Teaching Philosophy</w:t>
      </w:r>
    </w:p>
    <w:p w:rsidR="00C071E1" w:rsidRDefault="00C071E1" w:rsidP="00C071E1">
      <w:pPr>
        <w:ind w:left="2160"/>
      </w:pPr>
    </w:p>
    <w:p w:rsidR="000970C1" w:rsidRPr="000970C1" w:rsidRDefault="003E13C8" w:rsidP="000970C1">
      <w:pPr>
        <w:pStyle w:val="ListParagraph"/>
        <w:numPr>
          <w:ilvl w:val="0"/>
          <w:numId w:val="1"/>
        </w:numPr>
      </w:pPr>
      <w:r w:rsidRPr="003D260D">
        <w:rPr>
          <w:b/>
          <w:u w:val="single"/>
        </w:rPr>
        <w:t xml:space="preserve">Goals and Objectives  </w:t>
      </w:r>
    </w:p>
    <w:p w:rsidR="007225CB" w:rsidRDefault="007225CB" w:rsidP="007225CB">
      <w:pPr>
        <w:pStyle w:val="ListParagraph"/>
        <w:ind w:left="360"/>
      </w:pPr>
      <w:r>
        <w:t>The goals selected to be taught and evaluated during the Internal Medicine II learning experience include:</w:t>
      </w:r>
    </w:p>
    <w:p w:rsidR="00C15B74" w:rsidRDefault="00C15B74" w:rsidP="007225CB">
      <w:pPr>
        <w:pStyle w:val="ListParagraph"/>
        <w:ind w:left="360"/>
      </w:pPr>
    </w:p>
    <w:p w:rsidR="00C15B74" w:rsidRDefault="00C15B74" w:rsidP="00C15B74">
      <w:pPr>
        <w:ind w:left="2880" w:hanging="1440"/>
      </w:pPr>
      <w:r>
        <w:t xml:space="preserve">R1.1 </w:t>
      </w:r>
      <w:r>
        <w:tab/>
        <w:t>In collaboration with the health care team, provide safe and effective patient care to a diverse range of patients, including those with multiple co-morbidities, high-risk medication regimens, and multiple medications following a consistent patient care process</w:t>
      </w:r>
    </w:p>
    <w:p w:rsidR="00C15B74" w:rsidRDefault="00C15B74" w:rsidP="00C15B74">
      <w:pPr>
        <w:ind w:left="2880" w:hanging="1440"/>
      </w:pPr>
      <w:r>
        <w:t>R1.1.4</w:t>
      </w:r>
      <w:r>
        <w:tab/>
        <w:t>Analyze and assess information on which to base safe and effective medication therapy</w:t>
      </w:r>
    </w:p>
    <w:p w:rsidR="00C15B74" w:rsidRDefault="00C15B74" w:rsidP="00C15B74">
      <w:pPr>
        <w:ind w:left="2880" w:hanging="1440"/>
      </w:pPr>
      <w:r>
        <w:t>R1.1.5</w:t>
      </w:r>
      <w:r>
        <w:tab/>
        <w:t>Design or redesign safe and effective patient-centered therapeutic regimens and monitoring plans (care plans)</w:t>
      </w:r>
    </w:p>
    <w:p w:rsidR="00C15B74" w:rsidRDefault="00C15B74" w:rsidP="00C15B74">
      <w:pPr>
        <w:ind w:left="2880" w:hanging="1440"/>
      </w:pPr>
      <w:r>
        <w:t>R1.1.6</w:t>
      </w:r>
      <w:r>
        <w:tab/>
        <w:t>Ensure implementation of therapeutic regimens and monitoring plans (care plans) by taking appropriate follow – up actions</w:t>
      </w:r>
    </w:p>
    <w:p w:rsidR="00C15B74" w:rsidRDefault="00C15B74" w:rsidP="00C15B74">
      <w:pPr>
        <w:ind w:left="2880" w:hanging="1440"/>
      </w:pPr>
      <w:r>
        <w:t>R1.1.7</w:t>
      </w:r>
      <w:r>
        <w:tab/>
        <w:t>Document direct patient care activities appropriately in the medical record or where appropriate</w:t>
      </w:r>
    </w:p>
    <w:p w:rsidR="00C15B74" w:rsidRDefault="00C15B74" w:rsidP="00C15B74">
      <w:pPr>
        <w:ind w:left="2880" w:hanging="1440"/>
      </w:pPr>
      <w:r>
        <w:t>R1.1.8</w:t>
      </w:r>
      <w:r>
        <w:tab/>
        <w:t>Demonstrate responsibility to patient</w:t>
      </w:r>
    </w:p>
    <w:p w:rsidR="00C15B74" w:rsidRDefault="00C15B74" w:rsidP="00C15B74">
      <w:pPr>
        <w:ind w:left="2880" w:hanging="1440"/>
      </w:pPr>
      <w:r>
        <w:t>R1.2</w:t>
      </w:r>
      <w:r>
        <w:tab/>
        <w:t>Ensure continuity of care during patient transitions between care settings</w:t>
      </w:r>
    </w:p>
    <w:p w:rsidR="00D42B0D" w:rsidRDefault="00D42B0D" w:rsidP="00D42B0D">
      <w:pPr>
        <w:ind w:left="2880" w:hanging="1440"/>
      </w:pPr>
      <w:r>
        <w:t>R.3.1.2</w:t>
      </w:r>
      <w:r>
        <w:tab/>
        <w:t>Apply a process of ongoing self-evaluation and personal performance improvement</w:t>
      </w:r>
    </w:p>
    <w:p w:rsidR="00D42B0D" w:rsidRDefault="00D42B0D" w:rsidP="00C15B74">
      <w:pPr>
        <w:ind w:left="2880" w:hanging="1440"/>
      </w:pPr>
    </w:p>
    <w:p w:rsidR="00C15B74" w:rsidRDefault="00C15B74" w:rsidP="00C15B74">
      <w:pPr>
        <w:ind w:left="2880" w:hanging="1440"/>
      </w:pPr>
      <w:r>
        <w:t>R4.1</w:t>
      </w:r>
      <w:r>
        <w:tab/>
        <w:t>Provide effective medication and practice related education to patients, caregivers, health care professionals, students, and the public (individuals and groups)</w:t>
      </w:r>
    </w:p>
    <w:p w:rsidR="00C15B74" w:rsidRDefault="00C15B74" w:rsidP="00C15B74">
      <w:pPr>
        <w:ind w:left="2880" w:hanging="1440"/>
      </w:pPr>
      <w:r>
        <w:t>R4.1.1</w:t>
      </w:r>
      <w:r>
        <w:tab/>
        <w:t>Design effective educational activities</w:t>
      </w:r>
    </w:p>
    <w:p w:rsidR="00C15B74" w:rsidRDefault="00C15B74" w:rsidP="00C15B74">
      <w:pPr>
        <w:ind w:left="2880" w:hanging="1440"/>
      </w:pPr>
      <w:r>
        <w:t>R4.1.2</w:t>
      </w:r>
      <w:r>
        <w:tab/>
        <w:t>Use effective presentation and teaching skills to deliver education</w:t>
      </w:r>
    </w:p>
    <w:p w:rsidR="00C15B74" w:rsidRDefault="00C15B74" w:rsidP="00C15B74">
      <w:pPr>
        <w:ind w:left="2880" w:hanging="1440"/>
      </w:pPr>
      <w:r>
        <w:t>R4.1.3</w:t>
      </w:r>
      <w:r>
        <w:tab/>
        <w:t>Use effective written communication to disseminate knowledge</w:t>
      </w:r>
    </w:p>
    <w:p w:rsidR="00C15B74" w:rsidRDefault="00C15B74" w:rsidP="00C15B74">
      <w:pPr>
        <w:ind w:left="2880" w:hanging="1440"/>
      </w:pPr>
      <w:r>
        <w:t>R4.1.4</w:t>
      </w:r>
      <w:r>
        <w:tab/>
        <w:t>Appropriately assess effectiveness of education</w:t>
      </w:r>
    </w:p>
    <w:p w:rsidR="00DA1C7E" w:rsidRDefault="00DA1C7E" w:rsidP="00C15B74">
      <w:pPr>
        <w:ind w:left="2880" w:hanging="1440"/>
      </w:pPr>
      <w:r>
        <w:t>R4.2</w:t>
      </w:r>
      <w:r>
        <w:tab/>
        <w:t>Effectively employs appropriate preceptor roles when engaged in teaching students, pharmacy technicians or fellow health care professionals</w:t>
      </w:r>
    </w:p>
    <w:p w:rsidR="00DA1C7E" w:rsidRDefault="00DA1C7E" w:rsidP="00C15B74">
      <w:pPr>
        <w:ind w:left="2880" w:hanging="1440"/>
      </w:pPr>
      <w:r>
        <w:t>R4.2.1</w:t>
      </w:r>
      <w:r>
        <w:tab/>
        <w:t>When engaged in teaching, select a preceptor role that meets learners’ educational needs</w:t>
      </w:r>
    </w:p>
    <w:p w:rsidR="00DA1C7E" w:rsidRDefault="00DA1C7E" w:rsidP="00C15B74">
      <w:pPr>
        <w:ind w:left="2880" w:hanging="1440"/>
      </w:pPr>
      <w:r>
        <w:t>R4.2.2</w:t>
      </w:r>
      <w:r>
        <w:tab/>
        <w:t>Effectively employ preceptor roles, as appropriate</w:t>
      </w:r>
    </w:p>
    <w:p w:rsidR="00C15B74" w:rsidRDefault="00C15B74" w:rsidP="00C15B74">
      <w:pPr>
        <w:ind w:left="2160" w:hanging="720"/>
      </w:pPr>
    </w:p>
    <w:p w:rsidR="003E13C8" w:rsidRDefault="003E13C8" w:rsidP="003E13C8">
      <w:pPr>
        <w:numPr>
          <w:ilvl w:val="0"/>
          <w:numId w:val="1"/>
        </w:numPr>
        <w:rPr>
          <w:b/>
          <w:u w:val="single"/>
        </w:rPr>
      </w:pPr>
      <w:r>
        <w:rPr>
          <w:b/>
          <w:u w:val="single"/>
        </w:rPr>
        <w:t xml:space="preserve">Preceptor Interaction </w:t>
      </w:r>
    </w:p>
    <w:p w:rsidR="00455A94" w:rsidRDefault="003E13C8" w:rsidP="003E13C8">
      <w:pPr>
        <w:ind w:left="360"/>
      </w:pPr>
      <w:r>
        <w:t xml:space="preserve">Daily:  </w:t>
      </w:r>
      <w:r>
        <w:tab/>
      </w:r>
      <w:r w:rsidR="00CB3793">
        <w:tab/>
      </w:r>
      <w:r w:rsidR="00455A94">
        <w:t>0700 – 1000</w:t>
      </w:r>
      <w:r w:rsidR="00455A94">
        <w:tab/>
      </w:r>
      <w:r w:rsidR="00455A94">
        <w:tab/>
        <w:t>Work rounds with medicine team</w:t>
      </w:r>
    </w:p>
    <w:p w:rsidR="003E13C8" w:rsidRDefault="00416805" w:rsidP="00455A94">
      <w:pPr>
        <w:ind w:left="1800" w:firstLine="360"/>
      </w:pPr>
      <w:r>
        <w:t>0930</w:t>
      </w:r>
      <w:r>
        <w:tab/>
      </w:r>
      <w:r w:rsidR="003E13C8">
        <w:t xml:space="preserve">  </w:t>
      </w:r>
      <w:r w:rsidR="003E13C8">
        <w:tab/>
      </w:r>
      <w:r w:rsidR="00390C0E">
        <w:tab/>
        <w:t>Meet</w:t>
      </w:r>
      <w:r w:rsidR="003E13C8">
        <w:t xml:space="preserve"> with resident</w:t>
      </w:r>
      <w:r w:rsidR="00390C0E">
        <w:t xml:space="preserve"> to discuss the plan for the day</w:t>
      </w:r>
    </w:p>
    <w:p w:rsidR="003E13C8" w:rsidRDefault="003E13C8" w:rsidP="003E13C8">
      <w:pPr>
        <w:ind w:left="360"/>
      </w:pPr>
      <w:r>
        <w:tab/>
      </w:r>
      <w:r>
        <w:tab/>
      </w:r>
      <w:r w:rsidR="00CB3793">
        <w:tab/>
      </w:r>
      <w:r w:rsidR="00455A94">
        <w:t>1000 - 1200</w:t>
      </w:r>
      <w:r>
        <w:t xml:space="preserve"> </w:t>
      </w:r>
      <w:r>
        <w:tab/>
      </w:r>
      <w:r w:rsidR="00390C0E">
        <w:tab/>
      </w:r>
      <w:r w:rsidR="00455A94">
        <w:t>Attending rounds</w:t>
      </w:r>
      <w:r w:rsidR="00390C0E">
        <w:t xml:space="preserve"> </w:t>
      </w:r>
    </w:p>
    <w:p w:rsidR="00455A94" w:rsidRDefault="00455A94" w:rsidP="00455A94">
      <w:pPr>
        <w:ind w:left="4320" w:hanging="2160"/>
      </w:pPr>
      <w:r>
        <w:t>Afternoon</w:t>
      </w:r>
      <w:r>
        <w:tab/>
        <w:t xml:space="preserve">Discharge </w:t>
      </w:r>
      <w:r w:rsidR="00416805">
        <w:t>patients,</w:t>
      </w:r>
      <w:r>
        <w:t xml:space="preserve"> educate patients,</w:t>
      </w:r>
      <w:r w:rsidR="00416805">
        <w:t xml:space="preserve"> continue patient work ups, </w:t>
      </w:r>
      <w:r w:rsidR="002C7CC5">
        <w:t>and update</w:t>
      </w:r>
      <w:r>
        <w:t xml:space="preserve"> Centricity EHR</w:t>
      </w:r>
    </w:p>
    <w:p w:rsidR="00413042" w:rsidRDefault="00CB3793" w:rsidP="00413042">
      <w:pPr>
        <w:ind w:firstLine="360"/>
      </w:pPr>
      <w:r>
        <w:t xml:space="preserve">Twice weekly: </w:t>
      </w:r>
      <w:r>
        <w:tab/>
      </w:r>
      <w:r w:rsidR="00455A94">
        <w:t>1400 - 1600</w:t>
      </w:r>
      <w:r>
        <w:tab/>
      </w:r>
      <w:r>
        <w:tab/>
        <w:t xml:space="preserve">Meet for topic discussions, journal article, guideline </w:t>
      </w:r>
      <w:r w:rsidR="004C2F47">
        <w:tab/>
      </w:r>
      <w:r w:rsidR="004C2F47">
        <w:tab/>
      </w:r>
      <w:r w:rsidR="004C2F47">
        <w:tab/>
      </w:r>
      <w:r w:rsidR="004C2F47">
        <w:tab/>
      </w:r>
      <w:r w:rsidR="004C2F47">
        <w:tab/>
      </w:r>
      <w:r w:rsidR="004C2F47">
        <w:tab/>
      </w:r>
      <w:r>
        <w:t>review</w:t>
      </w:r>
      <w:r w:rsidR="00E60B4D">
        <w:t xml:space="preserve">, teaching topics </w:t>
      </w:r>
    </w:p>
    <w:p w:rsidR="00413042" w:rsidRDefault="00413042" w:rsidP="00413042">
      <w:pPr>
        <w:ind w:left="1800" w:firstLine="360"/>
      </w:pPr>
      <w:r>
        <w:t>1645 – 1700</w:t>
      </w:r>
      <w:r>
        <w:tab/>
      </w:r>
      <w:r>
        <w:tab/>
        <w:t xml:space="preserve">Preceptor available for patient updates </w:t>
      </w:r>
    </w:p>
    <w:p w:rsidR="00724DB3" w:rsidRDefault="00724DB3" w:rsidP="00413042">
      <w:pPr>
        <w:ind w:left="1800" w:firstLine="360"/>
      </w:pPr>
    </w:p>
    <w:p w:rsidR="003E13C8" w:rsidRPr="004B6B6E" w:rsidRDefault="005143EF" w:rsidP="003E13C8">
      <w:pPr>
        <w:ind w:left="1440" w:hanging="1080"/>
        <w:rPr>
          <w:b/>
          <w:u w:val="single"/>
        </w:rPr>
      </w:pPr>
      <w:r>
        <w:rPr>
          <w:b/>
        </w:rPr>
        <w:t>5</w:t>
      </w:r>
      <w:r w:rsidR="003E13C8">
        <w:rPr>
          <w:b/>
        </w:rPr>
        <w:t xml:space="preserve">)  </w:t>
      </w:r>
      <w:r w:rsidR="003E13C8" w:rsidRPr="004B6B6E">
        <w:rPr>
          <w:b/>
          <w:u w:val="single"/>
        </w:rPr>
        <w:t>Communication:</w:t>
      </w:r>
    </w:p>
    <w:p w:rsidR="00416805" w:rsidRDefault="00416805" w:rsidP="003E13C8">
      <w:pPr>
        <w:numPr>
          <w:ilvl w:val="0"/>
          <w:numId w:val="6"/>
        </w:numPr>
      </w:pPr>
      <w:r>
        <w:t>Morning meeting: Resident to prioritize difficult / new patients and drug related problems identified to be discussed with preceptor</w:t>
      </w:r>
    </w:p>
    <w:p w:rsidR="00416805" w:rsidRDefault="00CB3793" w:rsidP="003E13C8">
      <w:pPr>
        <w:numPr>
          <w:ilvl w:val="0"/>
          <w:numId w:val="6"/>
        </w:numPr>
      </w:pPr>
      <w:r>
        <w:t>Twice weekl</w:t>
      </w:r>
      <w:r w:rsidR="003E13C8">
        <w:t xml:space="preserve">y meeting times:  Residents to </w:t>
      </w:r>
      <w:r w:rsidR="00416805">
        <w:t>be prepared for discussions by reading/reviewing for the topic to be discussed and come to meetings with questions or areas that need clarification</w:t>
      </w:r>
    </w:p>
    <w:p w:rsidR="003E13C8" w:rsidRDefault="003E13C8" w:rsidP="003E13C8">
      <w:pPr>
        <w:numPr>
          <w:ilvl w:val="0"/>
          <w:numId w:val="6"/>
        </w:numPr>
      </w:pPr>
      <w:r>
        <w:t xml:space="preserve">E-mail:  Residents are expected to read e-mails at the beginning, middle and end of each day at a minimum for ongoing communication.   This is appropriate for routine, non-urgent questions and problems.  </w:t>
      </w:r>
    </w:p>
    <w:p w:rsidR="003E13C8" w:rsidRDefault="003E13C8" w:rsidP="003E13C8">
      <w:pPr>
        <w:numPr>
          <w:ilvl w:val="0"/>
          <w:numId w:val="6"/>
        </w:numPr>
      </w:pPr>
      <w:r>
        <w:t>Personal phone number: Provided to resident at time of learning experience for</w:t>
      </w:r>
      <w:r w:rsidR="00416805">
        <w:t xml:space="preserve"> easy access to preceptor</w:t>
      </w:r>
      <w:r>
        <w:t>.</w:t>
      </w:r>
    </w:p>
    <w:p w:rsidR="003E13C8" w:rsidRPr="00FE12CB" w:rsidRDefault="003E13C8" w:rsidP="003E13C8">
      <w:pPr>
        <w:ind w:left="2520" w:hanging="2160"/>
        <w:jc w:val="both"/>
      </w:pPr>
      <w:r>
        <w:tab/>
      </w: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Pr="003D260D" w:rsidRDefault="003E13C8" w:rsidP="003E13C8">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D66981" w:rsidRDefault="00D66981" w:rsidP="003E13C8">
      <w:pPr>
        <w:ind w:left="360"/>
        <w:rPr>
          <w:u w:val="single"/>
        </w:rPr>
      </w:pPr>
    </w:p>
    <w:p w:rsidR="00D66981" w:rsidRDefault="00D66981" w:rsidP="00D66981">
      <w:pPr>
        <w:ind w:left="2160" w:hanging="1800"/>
      </w:pPr>
      <w:r>
        <w:t xml:space="preserve">Day 1:  </w:t>
      </w:r>
      <w:r w:rsidR="00C662C5">
        <w:tab/>
      </w:r>
      <w:r>
        <w:t>Preceptor will review learning activities and expectations with resident.</w:t>
      </w:r>
    </w:p>
    <w:p w:rsidR="00D66981" w:rsidRDefault="00D66981" w:rsidP="00D66981">
      <w:pPr>
        <w:ind w:left="1260" w:hanging="900"/>
      </w:pPr>
    </w:p>
    <w:p w:rsidR="00D66981" w:rsidRDefault="00D66981" w:rsidP="00C16B25">
      <w:pPr>
        <w:ind w:left="2160" w:hanging="1800"/>
      </w:pPr>
      <w:r>
        <w:t xml:space="preserve">Week 1: </w:t>
      </w:r>
      <w:r w:rsidR="00C662C5">
        <w:tab/>
      </w:r>
      <w:r w:rsidR="000D2120">
        <w:t xml:space="preserve">Resident will be able to cover </w:t>
      </w:r>
      <w:r w:rsidR="00C16B25">
        <w:t>the SRAHEC inpatient medicine team</w:t>
      </w:r>
      <w:r w:rsidR="000D2120">
        <w:t xml:space="preserve"> independently,</w:t>
      </w:r>
      <w:r w:rsidR="00C16B25">
        <w:t xml:space="preserve"> </w:t>
      </w:r>
      <w:r w:rsidR="000D2120">
        <w:t>with coaching and facilitating by the preceptor.  The preceptor will be available, daily, to discuss problems.  Resident will develop student pharmacist calendars and schedules.</w:t>
      </w:r>
      <w:r w:rsidR="00C071E1">
        <w:t xml:space="preserve"> Teaching / Learning discussions take place. Begin written reflections.</w:t>
      </w:r>
    </w:p>
    <w:p w:rsidR="00D66981" w:rsidRDefault="00D66981" w:rsidP="00D66981">
      <w:pPr>
        <w:ind w:left="2160" w:hanging="1800"/>
      </w:pPr>
    </w:p>
    <w:p w:rsidR="000D2120" w:rsidRDefault="00D66981" w:rsidP="00C071E1">
      <w:pPr>
        <w:ind w:left="2160" w:hanging="1800"/>
        <w:rPr>
          <w:b/>
          <w:u w:val="single"/>
        </w:rPr>
      </w:pPr>
      <w:r>
        <w:t>Week</w:t>
      </w:r>
      <w:r w:rsidR="000D2120">
        <w:t>s</w:t>
      </w:r>
      <w:r>
        <w:t xml:space="preserve"> 2</w:t>
      </w:r>
      <w:r w:rsidR="000D2120">
        <w:t>-4</w:t>
      </w:r>
      <w:r>
        <w:t xml:space="preserve">:  </w:t>
      </w:r>
      <w:r w:rsidR="00C662C5">
        <w:tab/>
      </w:r>
      <w:r w:rsidR="000D2120">
        <w:t>Resident is expected to take over all clinical responsibilities of the</w:t>
      </w:r>
      <w:r w:rsidR="00C071E1">
        <w:t xml:space="preserve"> </w:t>
      </w:r>
      <w:r w:rsidR="000D2120">
        <w:t xml:space="preserve">preceptor </w:t>
      </w:r>
      <w:r w:rsidR="00C16B25">
        <w:t>on the inpatient service</w:t>
      </w:r>
      <w:r w:rsidR="000D2120">
        <w:t xml:space="preserve"> independently, in addition to</w:t>
      </w:r>
      <w:r w:rsidR="00C071E1">
        <w:t xml:space="preserve"> </w:t>
      </w:r>
      <w:r w:rsidR="000D2120">
        <w:t>serving as primary preceptor for any students on the advanced pharmacy practice experience, which includes coordinating the student pharmacist calendar, facilitating discussions and providing feedback and evaluations.</w:t>
      </w:r>
      <w:r w:rsidR="00C071E1">
        <w:t xml:space="preserve"> Continued discussions on teaching / learning topics. Continue written reflections.</w:t>
      </w:r>
    </w:p>
    <w:p w:rsidR="003E13C8" w:rsidRDefault="003E13C8" w:rsidP="003E13C8"/>
    <w:p w:rsidR="00587D73" w:rsidRPr="005143EF" w:rsidRDefault="00587D73" w:rsidP="005143EF">
      <w:pPr>
        <w:pStyle w:val="ListParagraph"/>
        <w:numPr>
          <w:ilvl w:val="0"/>
          <w:numId w:val="13"/>
        </w:numPr>
        <w:jc w:val="both"/>
        <w:outlineLvl w:val="0"/>
        <w:rPr>
          <w:b/>
          <w:u w:val="single"/>
        </w:rPr>
      </w:pPr>
      <w:r w:rsidRPr="005143EF">
        <w:rPr>
          <w:b/>
          <w:u w:val="single"/>
        </w:rPr>
        <w:t>Evaluation Strategy</w:t>
      </w:r>
    </w:p>
    <w:p w:rsidR="00587D73" w:rsidRDefault="00C14DB7" w:rsidP="00C14DB7">
      <w:pPr>
        <w:pStyle w:val="Default"/>
        <w:ind w:left="72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w:t>
      </w:r>
      <w:r w:rsidRPr="00C14DB7">
        <w:rPr>
          <w:sz w:val="23"/>
          <w:szCs w:val="23"/>
        </w:rPr>
        <w:t>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5143EF" w:rsidRPr="00C14DB7" w:rsidRDefault="005143EF" w:rsidP="00C14DB7">
      <w:pPr>
        <w:pStyle w:val="Default"/>
        <w:ind w:left="720"/>
        <w:rPr>
          <w:sz w:val="23"/>
          <w:szCs w:val="23"/>
        </w:rPr>
      </w:pPr>
      <w:bookmarkStart w:id="0" w:name="_GoBack"/>
      <w:bookmarkEnd w:id="0"/>
    </w:p>
    <w:tbl>
      <w:tblPr>
        <w:tblStyle w:val="TableGrid"/>
        <w:tblW w:w="0" w:type="auto"/>
        <w:tblLook w:val="04A0" w:firstRow="1" w:lastRow="0" w:firstColumn="1" w:lastColumn="0" w:noHBand="0" w:noVBand="1"/>
      </w:tblPr>
      <w:tblGrid>
        <w:gridCol w:w="3192"/>
        <w:gridCol w:w="2226"/>
        <w:gridCol w:w="4158"/>
      </w:tblGrid>
      <w:tr w:rsidR="00724A6A" w:rsidRPr="00A35BCB" w:rsidTr="00D05EAF">
        <w:tc>
          <w:tcPr>
            <w:tcW w:w="3192" w:type="dxa"/>
          </w:tcPr>
          <w:p w:rsidR="00724A6A" w:rsidRPr="00A35BCB" w:rsidRDefault="00724A6A" w:rsidP="00D05EAF">
            <w:pPr>
              <w:jc w:val="center"/>
              <w:rPr>
                <w:b/>
              </w:rPr>
            </w:pPr>
            <w:r w:rsidRPr="00A35BCB">
              <w:rPr>
                <w:b/>
              </w:rPr>
              <w:t>Type of Evaluation</w:t>
            </w:r>
          </w:p>
        </w:tc>
        <w:tc>
          <w:tcPr>
            <w:tcW w:w="2226" w:type="dxa"/>
          </w:tcPr>
          <w:p w:rsidR="00724A6A" w:rsidRPr="00A35BCB" w:rsidRDefault="00724A6A" w:rsidP="00D05EAF">
            <w:pPr>
              <w:jc w:val="center"/>
              <w:rPr>
                <w:b/>
              </w:rPr>
            </w:pPr>
            <w:r w:rsidRPr="00A35BCB">
              <w:rPr>
                <w:b/>
              </w:rPr>
              <w:t>Who Completes the Evaluation</w:t>
            </w:r>
          </w:p>
        </w:tc>
        <w:tc>
          <w:tcPr>
            <w:tcW w:w="4158" w:type="dxa"/>
          </w:tcPr>
          <w:p w:rsidR="00724A6A" w:rsidRPr="00A35BCB" w:rsidRDefault="00724A6A" w:rsidP="00D05EAF">
            <w:pPr>
              <w:jc w:val="center"/>
              <w:rPr>
                <w:b/>
              </w:rPr>
            </w:pPr>
            <w:r w:rsidRPr="00A35BCB">
              <w:rPr>
                <w:b/>
              </w:rPr>
              <w:t>When is the Evaluation Completed</w:t>
            </w:r>
          </w:p>
        </w:tc>
      </w:tr>
      <w:tr w:rsidR="00724A6A" w:rsidTr="00D05EAF">
        <w:tc>
          <w:tcPr>
            <w:tcW w:w="3192" w:type="dxa"/>
          </w:tcPr>
          <w:p w:rsidR="00724A6A" w:rsidRDefault="00724A6A" w:rsidP="00D05EAF">
            <w:r>
              <w:t>Written and Verbal Formative Feedback</w:t>
            </w:r>
          </w:p>
        </w:tc>
        <w:tc>
          <w:tcPr>
            <w:tcW w:w="2226" w:type="dxa"/>
          </w:tcPr>
          <w:p w:rsidR="00724A6A" w:rsidRDefault="00724A6A" w:rsidP="00D05EAF">
            <w:r>
              <w:t>Preceptor</w:t>
            </w:r>
          </w:p>
        </w:tc>
        <w:tc>
          <w:tcPr>
            <w:tcW w:w="4158" w:type="dxa"/>
          </w:tcPr>
          <w:p w:rsidR="00724A6A" w:rsidRDefault="00724A6A" w:rsidP="00D05EAF">
            <w:r>
              <w:t>Throughout rotation based on activities; resident to place written feedback into electronic portfolio</w:t>
            </w:r>
          </w:p>
        </w:tc>
      </w:tr>
      <w:tr w:rsidR="00724A6A" w:rsidTr="00D05EAF">
        <w:tc>
          <w:tcPr>
            <w:tcW w:w="3192" w:type="dxa"/>
          </w:tcPr>
          <w:p w:rsidR="00724A6A" w:rsidRDefault="00724A6A" w:rsidP="00D05EAF">
            <w:r>
              <w:t>Self-evaluation</w:t>
            </w:r>
          </w:p>
        </w:tc>
        <w:tc>
          <w:tcPr>
            <w:tcW w:w="2226" w:type="dxa"/>
          </w:tcPr>
          <w:p w:rsidR="00724A6A" w:rsidRDefault="00724A6A" w:rsidP="00D05EAF">
            <w:r>
              <w:t>Resident</w:t>
            </w:r>
          </w:p>
        </w:tc>
        <w:tc>
          <w:tcPr>
            <w:tcW w:w="4158" w:type="dxa"/>
          </w:tcPr>
          <w:p w:rsidR="00724A6A" w:rsidRDefault="00724A6A" w:rsidP="00D05EAF">
            <w:r>
              <w:t>Midpoint</w:t>
            </w:r>
          </w:p>
        </w:tc>
      </w:tr>
      <w:tr w:rsidR="00724A6A" w:rsidTr="00D05EAF">
        <w:tc>
          <w:tcPr>
            <w:tcW w:w="3192" w:type="dxa"/>
          </w:tcPr>
          <w:p w:rsidR="00724A6A" w:rsidRDefault="00724A6A" w:rsidP="00D05EAF">
            <w:r>
              <w:t>ASHP Preceptor Evaluation</w:t>
            </w:r>
          </w:p>
        </w:tc>
        <w:tc>
          <w:tcPr>
            <w:tcW w:w="2226" w:type="dxa"/>
          </w:tcPr>
          <w:p w:rsidR="00724A6A" w:rsidRDefault="00724A6A" w:rsidP="00D05EAF">
            <w:r>
              <w:t>Resident</w:t>
            </w:r>
          </w:p>
        </w:tc>
        <w:tc>
          <w:tcPr>
            <w:tcW w:w="4158" w:type="dxa"/>
          </w:tcPr>
          <w:p w:rsidR="00724A6A" w:rsidRDefault="00724A6A" w:rsidP="00D05EAF">
            <w:r>
              <w:t>End of learning experience</w:t>
            </w:r>
          </w:p>
        </w:tc>
      </w:tr>
      <w:tr w:rsidR="00724A6A" w:rsidTr="00D05EAF">
        <w:tc>
          <w:tcPr>
            <w:tcW w:w="3192" w:type="dxa"/>
          </w:tcPr>
          <w:p w:rsidR="00724A6A" w:rsidRDefault="00724A6A" w:rsidP="00D05EAF">
            <w:r>
              <w:t>ASHP Learning Experience Evaluation</w:t>
            </w:r>
          </w:p>
        </w:tc>
        <w:tc>
          <w:tcPr>
            <w:tcW w:w="2226" w:type="dxa"/>
          </w:tcPr>
          <w:p w:rsidR="00724A6A" w:rsidRDefault="00724A6A" w:rsidP="00D05EAF">
            <w:r>
              <w:t>Resident</w:t>
            </w:r>
          </w:p>
        </w:tc>
        <w:tc>
          <w:tcPr>
            <w:tcW w:w="4158" w:type="dxa"/>
          </w:tcPr>
          <w:p w:rsidR="00724A6A" w:rsidRDefault="00724A6A" w:rsidP="00D05EAF">
            <w:r>
              <w:t>End of learning experience</w:t>
            </w:r>
          </w:p>
        </w:tc>
      </w:tr>
      <w:tr w:rsidR="00724A6A" w:rsidTr="00D05EAF">
        <w:tc>
          <w:tcPr>
            <w:tcW w:w="3192" w:type="dxa"/>
          </w:tcPr>
          <w:p w:rsidR="00724A6A" w:rsidRDefault="00724A6A" w:rsidP="00D05EAF">
            <w:r>
              <w:t>Summative Self-evaluation</w:t>
            </w:r>
          </w:p>
        </w:tc>
        <w:tc>
          <w:tcPr>
            <w:tcW w:w="2226" w:type="dxa"/>
          </w:tcPr>
          <w:p w:rsidR="00724A6A" w:rsidRDefault="00724A6A" w:rsidP="00D05EAF">
            <w:r>
              <w:t>Resident</w:t>
            </w:r>
          </w:p>
        </w:tc>
        <w:tc>
          <w:tcPr>
            <w:tcW w:w="4158" w:type="dxa"/>
          </w:tcPr>
          <w:p w:rsidR="00724A6A" w:rsidRDefault="00724A6A" w:rsidP="00D05EAF">
            <w:r>
              <w:t>End of learning experience</w:t>
            </w:r>
          </w:p>
        </w:tc>
      </w:tr>
      <w:tr w:rsidR="00724A6A" w:rsidTr="00D05EAF">
        <w:tc>
          <w:tcPr>
            <w:tcW w:w="3192" w:type="dxa"/>
          </w:tcPr>
          <w:p w:rsidR="00724A6A" w:rsidRDefault="00724A6A" w:rsidP="00D05EAF">
            <w:r>
              <w:t>Summative Evaluation</w:t>
            </w:r>
          </w:p>
        </w:tc>
        <w:tc>
          <w:tcPr>
            <w:tcW w:w="2226" w:type="dxa"/>
          </w:tcPr>
          <w:p w:rsidR="00724A6A" w:rsidRDefault="00724A6A" w:rsidP="00D05EAF">
            <w:r>
              <w:t>Preceptor</w:t>
            </w:r>
          </w:p>
        </w:tc>
        <w:tc>
          <w:tcPr>
            <w:tcW w:w="4158" w:type="dxa"/>
          </w:tcPr>
          <w:p w:rsidR="00724A6A" w:rsidRDefault="00724A6A" w:rsidP="00D05EAF">
            <w:r>
              <w:t>End of learning experience</w:t>
            </w:r>
          </w:p>
        </w:tc>
      </w:tr>
    </w:tbl>
    <w:p w:rsidR="00587D73" w:rsidRDefault="00587D73" w:rsidP="00587D73">
      <w:pPr>
        <w:ind w:left="720"/>
        <w:jc w:val="both"/>
      </w:pPr>
    </w:p>
    <w:p w:rsidR="00587D73" w:rsidRPr="00113B81" w:rsidRDefault="00587D73" w:rsidP="00587D73">
      <w:pPr>
        <w:ind w:left="360"/>
        <w:rPr>
          <w:b/>
        </w:rPr>
      </w:pPr>
    </w:p>
    <w:sectPr w:rsidR="00587D73" w:rsidRPr="00113B81"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53DA0"/>
    <w:multiLevelType w:val="multilevel"/>
    <w:tmpl w:val="7774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20596"/>
    <w:multiLevelType w:val="hybridMultilevel"/>
    <w:tmpl w:val="F312791E"/>
    <w:lvl w:ilvl="0" w:tplc="E932A2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962C8B"/>
    <w:multiLevelType w:val="hybridMultilevel"/>
    <w:tmpl w:val="34A611B4"/>
    <w:lvl w:ilvl="0" w:tplc="B5F8917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357582"/>
    <w:multiLevelType w:val="hybridMultilevel"/>
    <w:tmpl w:val="B136F19A"/>
    <w:lvl w:ilvl="0" w:tplc="476A2BD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36D43"/>
    <w:multiLevelType w:val="multilevel"/>
    <w:tmpl w:val="DD6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0"/>
  </w:num>
  <w:num w:numId="5">
    <w:abstractNumId w:val="5"/>
  </w:num>
  <w:num w:numId="6">
    <w:abstractNumId w:val="3"/>
  </w:num>
  <w:num w:numId="7">
    <w:abstractNumId w:val="9"/>
  </w:num>
  <w:num w:numId="8">
    <w:abstractNumId w:val="6"/>
  </w:num>
  <w:num w:numId="9">
    <w:abstractNumId w:val="11"/>
  </w:num>
  <w:num w:numId="10">
    <w:abstractNumId w:val="1"/>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73E0C"/>
    <w:rsid w:val="000970C1"/>
    <w:rsid w:val="000D2120"/>
    <w:rsid w:val="001047B2"/>
    <w:rsid w:val="001156BF"/>
    <w:rsid w:val="00132D02"/>
    <w:rsid w:val="0015774A"/>
    <w:rsid w:val="0026346E"/>
    <w:rsid w:val="002651E4"/>
    <w:rsid w:val="002C7CC5"/>
    <w:rsid w:val="00320FF8"/>
    <w:rsid w:val="003215A8"/>
    <w:rsid w:val="00347E28"/>
    <w:rsid w:val="00390C0E"/>
    <w:rsid w:val="003A3987"/>
    <w:rsid w:val="003A74F6"/>
    <w:rsid w:val="003D5D13"/>
    <w:rsid w:val="003E13C8"/>
    <w:rsid w:val="003E312B"/>
    <w:rsid w:val="003E4A63"/>
    <w:rsid w:val="003F4E77"/>
    <w:rsid w:val="00413042"/>
    <w:rsid w:val="00413B88"/>
    <w:rsid w:val="00416805"/>
    <w:rsid w:val="004204D9"/>
    <w:rsid w:val="00455A94"/>
    <w:rsid w:val="004C2F47"/>
    <w:rsid w:val="005067C4"/>
    <w:rsid w:val="00512286"/>
    <w:rsid w:val="005143EF"/>
    <w:rsid w:val="00522C2E"/>
    <w:rsid w:val="00575FB9"/>
    <w:rsid w:val="00587D73"/>
    <w:rsid w:val="005B0B0C"/>
    <w:rsid w:val="005B1245"/>
    <w:rsid w:val="005B177C"/>
    <w:rsid w:val="005F28EA"/>
    <w:rsid w:val="00610098"/>
    <w:rsid w:val="006574B3"/>
    <w:rsid w:val="00670254"/>
    <w:rsid w:val="00672350"/>
    <w:rsid w:val="006F31D1"/>
    <w:rsid w:val="007225CB"/>
    <w:rsid w:val="00724A6A"/>
    <w:rsid w:val="00724DB3"/>
    <w:rsid w:val="0073672E"/>
    <w:rsid w:val="00744DC2"/>
    <w:rsid w:val="0076160A"/>
    <w:rsid w:val="00767262"/>
    <w:rsid w:val="00770C34"/>
    <w:rsid w:val="00775871"/>
    <w:rsid w:val="0078465C"/>
    <w:rsid w:val="00791DB8"/>
    <w:rsid w:val="0079404C"/>
    <w:rsid w:val="007A780D"/>
    <w:rsid w:val="00815220"/>
    <w:rsid w:val="008160B0"/>
    <w:rsid w:val="00832FA1"/>
    <w:rsid w:val="0084253F"/>
    <w:rsid w:val="008717FB"/>
    <w:rsid w:val="008C66B0"/>
    <w:rsid w:val="008D70B6"/>
    <w:rsid w:val="009317DF"/>
    <w:rsid w:val="009738F9"/>
    <w:rsid w:val="00984C68"/>
    <w:rsid w:val="009E4621"/>
    <w:rsid w:val="00A224CD"/>
    <w:rsid w:val="00A716BF"/>
    <w:rsid w:val="00A75887"/>
    <w:rsid w:val="00AB3376"/>
    <w:rsid w:val="00AB41FD"/>
    <w:rsid w:val="00AC355C"/>
    <w:rsid w:val="00AF6C77"/>
    <w:rsid w:val="00B13A38"/>
    <w:rsid w:val="00B24D21"/>
    <w:rsid w:val="00B34F6B"/>
    <w:rsid w:val="00BA38E6"/>
    <w:rsid w:val="00BD7E52"/>
    <w:rsid w:val="00BF0204"/>
    <w:rsid w:val="00C071E1"/>
    <w:rsid w:val="00C14DB7"/>
    <w:rsid w:val="00C15B74"/>
    <w:rsid w:val="00C16B25"/>
    <w:rsid w:val="00C24D2F"/>
    <w:rsid w:val="00C431A7"/>
    <w:rsid w:val="00C662C5"/>
    <w:rsid w:val="00CA3F8B"/>
    <w:rsid w:val="00CB07C3"/>
    <w:rsid w:val="00CB3793"/>
    <w:rsid w:val="00D227EC"/>
    <w:rsid w:val="00D2290A"/>
    <w:rsid w:val="00D23CB4"/>
    <w:rsid w:val="00D42B0D"/>
    <w:rsid w:val="00D50E80"/>
    <w:rsid w:val="00D66981"/>
    <w:rsid w:val="00DA1C7E"/>
    <w:rsid w:val="00DB31A9"/>
    <w:rsid w:val="00DC57C1"/>
    <w:rsid w:val="00DC7ACE"/>
    <w:rsid w:val="00E03120"/>
    <w:rsid w:val="00E5036D"/>
    <w:rsid w:val="00E518D0"/>
    <w:rsid w:val="00E60B4D"/>
    <w:rsid w:val="00E74801"/>
    <w:rsid w:val="00E77CC6"/>
    <w:rsid w:val="00EC2611"/>
    <w:rsid w:val="00F00E81"/>
    <w:rsid w:val="00F03656"/>
    <w:rsid w:val="00F57262"/>
    <w:rsid w:val="00F675F3"/>
    <w:rsid w:val="00F8452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6F466-EF9F-4048-9F34-45066CDD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paragraph" w:styleId="NormalWeb">
    <w:name w:val="Normal (Web)"/>
    <w:basedOn w:val="Normal"/>
    <w:rsid w:val="00B13A38"/>
    <w:pPr>
      <w:spacing w:before="100" w:beforeAutospacing="1" w:after="100" w:afterAutospacing="1"/>
    </w:pPr>
  </w:style>
  <w:style w:type="paragraph" w:styleId="PlainText">
    <w:name w:val="Plain Text"/>
    <w:basedOn w:val="Normal"/>
    <w:link w:val="PlainTextChar"/>
    <w:rsid w:val="00B13A38"/>
    <w:pPr>
      <w:spacing w:before="100" w:beforeAutospacing="1" w:after="100" w:afterAutospacing="1"/>
    </w:pPr>
  </w:style>
  <w:style w:type="character" w:customStyle="1" w:styleId="PlainTextChar">
    <w:name w:val="Plain Text Char"/>
    <w:basedOn w:val="DefaultParagraphFont"/>
    <w:link w:val="PlainText"/>
    <w:rsid w:val="00B13A38"/>
    <w:rPr>
      <w:rFonts w:ascii="Times New Roman" w:eastAsia="Times New Roman" w:hAnsi="Times New Roman" w:cs="Times New Roman"/>
      <w:sz w:val="24"/>
      <w:szCs w:val="24"/>
    </w:rPr>
  </w:style>
  <w:style w:type="table" w:styleId="TableGrid">
    <w:name w:val="Table Grid"/>
    <w:basedOn w:val="TableNormal"/>
    <w:uiPriority w:val="59"/>
    <w:rsid w:val="00C1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D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miller@sr-a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6</cp:revision>
  <cp:lastPrinted>2014-07-02T18:15:00Z</cp:lastPrinted>
  <dcterms:created xsi:type="dcterms:W3CDTF">2017-07-17T15:59:00Z</dcterms:created>
  <dcterms:modified xsi:type="dcterms:W3CDTF">2017-09-13T21:26:00Z</dcterms:modified>
</cp:coreProperties>
</file>